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23585" w14:textId="77777777" w:rsidR="00B163B7" w:rsidRDefault="00B163B7" w:rsidP="003344D8">
      <w:pPr>
        <w:rPr>
          <w:b/>
          <w:sz w:val="28"/>
          <w:szCs w:val="28"/>
        </w:rPr>
      </w:pPr>
    </w:p>
    <w:p w14:paraId="5DF3C066" w14:textId="3A67CAA9" w:rsidR="00B163B7" w:rsidRDefault="00B163B7" w:rsidP="00D717F7">
      <w:pPr>
        <w:jc w:val="center"/>
        <w:rPr>
          <w:b/>
          <w:sz w:val="28"/>
          <w:szCs w:val="28"/>
        </w:rPr>
      </w:pPr>
    </w:p>
    <w:p w14:paraId="50F185BC" w14:textId="4C58033F" w:rsidR="00B163B7" w:rsidRDefault="00D717F7" w:rsidP="00D717F7">
      <w:pPr>
        <w:jc w:val="center"/>
      </w:pPr>
      <w:r>
        <w:rPr>
          <w:noProof/>
        </w:rPr>
        <w:drawing>
          <wp:inline distT="0" distB="0" distL="0" distR="0" wp14:anchorId="44A62E55" wp14:editId="4E6729E5">
            <wp:extent cx="2266950" cy="1724025"/>
            <wp:effectExtent l="0" t="0" r="0" b="9525"/>
            <wp:docPr id="1" name="Picture 1" descr="CWGv"/>
            <wp:cNvGraphicFramePr/>
            <a:graphic xmlns:a="http://schemas.openxmlformats.org/drawingml/2006/main">
              <a:graphicData uri="http://schemas.openxmlformats.org/drawingml/2006/picture">
                <pic:pic xmlns:pic="http://schemas.openxmlformats.org/drawingml/2006/picture">
                  <pic:nvPicPr>
                    <pic:cNvPr id="1" name="Picture 1" descr="CWGv"/>
                    <pic:cNvPicPr/>
                  </pic:nvPicPr>
                  <pic:blipFill>
                    <a:blip r:embed="rId7" cstate="print"/>
                    <a:srcRect/>
                    <a:stretch>
                      <a:fillRect/>
                    </a:stretch>
                  </pic:blipFill>
                  <pic:spPr bwMode="auto">
                    <a:xfrm>
                      <a:off x="0" y="0"/>
                      <a:ext cx="2266950" cy="1724025"/>
                    </a:xfrm>
                    <a:prstGeom prst="rect">
                      <a:avLst/>
                    </a:prstGeom>
                    <a:noFill/>
                    <a:ln w="9525">
                      <a:noFill/>
                      <a:miter lim="800000"/>
                      <a:headEnd/>
                      <a:tailEnd/>
                    </a:ln>
                  </pic:spPr>
                </pic:pic>
              </a:graphicData>
            </a:graphic>
          </wp:inline>
        </w:drawing>
      </w:r>
    </w:p>
    <w:p w14:paraId="3896F861" w14:textId="77777777" w:rsidR="00D717F7" w:rsidRDefault="00B163B7" w:rsidP="00B163B7">
      <w:pPr>
        <w:jc w:val="center"/>
        <w:rPr>
          <w:b/>
          <w:sz w:val="40"/>
          <w:szCs w:val="40"/>
        </w:rPr>
      </w:pPr>
      <w:r w:rsidRPr="00B163B7">
        <w:rPr>
          <w:b/>
          <w:sz w:val="40"/>
          <w:szCs w:val="40"/>
        </w:rPr>
        <w:t xml:space="preserve">A Review of the Arkansas Division of </w:t>
      </w:r>
    </w:p>
    <w:p w14:paraId="779D0045" w14:textId="6C8CCB85" w:rsidR="00B163B7" w:rsidRPr="00B163B7" w:rsidRDefault="00B163B7" w:rsidP="00B163B7">
      <w:pPr>
        <w:jc w:val="center"/>
        <w:rPr>
          <w:b/>
          <w:sz w:val="40"/>
          <w:szCs w:val="40"/>
        </w:rPr>
      </w:pPr>
      <w:r w:rsidRPr="00B163B7">
        <w:rPr>
          <w:b/>
          <w:sz w:val="40"/>
          <w:szCs w:val="40"/>
        </w:rPr>
        <w:t>Children and Family Services</w:t>
      </w:r>
    </w:p>
    <w:p w14:paraId="6C77D062" w14:textId="20158348" w:rsidR="00B163B7" w:rsidRDefault="000719B6" w:rsidP="00B163B7">
      <w:pPr>
        <w:jc w:val="center"/>
        <w:rPr>
          <w:b/>
          <w:sz w:val="40"/>
          <w:szCs w:val="40"/>
        </w:rPr>
      </w:pPr>
      <w:r>
        <w:rPr>
          <w:b/>
          <w:sz w:val="40"/>
          <w:szCs w:val="40"/>
        </w:rPr>
        <w:t>July</w:t>
      </w:r>
      <w:r w:rsidR="005E0DC6">
        <w:rPr>
          <w:b/>
          <w:sz w:val="40"/>
          <w:szCs w:val="40"/>
        </w:rPr>
        <w:t xml:space="preserve"> 6</w:t>
      </w:r>
      <w:r w:rsidR="00B163B7" w:rsidRPr="00B163B7">
        <w:rPr>
          <w:b/>
          <w:sz w:val="40"/>
          <w:szCs w:val="40"/>
        </w:rPr>
        <w:t>, 2015</w:t>
      </w:r>
    </w:p>
    <w:p w14:paraId="33D6EF8E" w14:textId="77777777" w:rsidR="00B163B7" w:rsidRDefault="00B163B7" w:rsidP="00B163B7">
      <w:pPr>
        <w:jc w:val="center"/>
        <w:rPr>
          <w:b/>
          <w:sz w:val="40"/>
          <w:szCs w:val="40"/>
        </w:rPr>
      </w:pPr>
    </w:p>
    <w:p w14:paraId="57B0EC1B" w14:textId="77777777" w:rsidR="00B163B7" w:rsidRDefault="00B163B7" w:rsidP="00B163B7">
      <w:pPr>
        <w:jc w:val="center"/>
        <w:rPr>
          <w:b/>
          <w:sz w:val="40"/>
          <w:szCs w:val="40"/>
        </w:rPr>
      </w:pPr>
    </w:p>
    <w:p w14:paraId="395EB9A0" w14:textId="3D797D4D" w:rsidR="00B163B7" w:rsidRDefault="00B163B7" w:rsidP="00B163B7">
      <w:pPr>
        <w:jc w:val="center"/>
        <w:rPr>
          <w:b/>
          <w:sz w:val="32"/>
          <w:szCs w:val="32"/>
        </w:rPr>
      </w:pPr>
      <w:r w:rsidRPr="00B163B7">
        <w:rPr>
          <w:b/>
          <w:sz w:val="32"/>
          <w:szCs w:val="32"/>
        </w:rPr>
        <w:t>Conducted by: The Child Welfare Policy</w:t>
      </w:r>
      <w:r>
        <w:rPr>
          <w:b/>
          <w:sz w:val="32"/>
          <w:szCs w:val="32"/>
        </w:rPr>
        <w:t xml:space="preserve"> </w:t>
      </w:r>
      <w:r w:rsidRPr="00B163B7">
        <w:rPr>
          <w:b/>
          <w:sz w:val="32"/>
          <w:szCs w:val="32"/>
        </w:rPr>
        <w:t>and Practice Group</w:t>
      </w:r>
    </w:p>
    <w:p w14:paraId="78C8D187" w14:textId="77777777" w:rsidR="00B163B7" w:rsidRDefault="00B163B7" w:rsidP="00B163B7">
      <w:pPr>
        <w:jc w:val="center"/>
        <w:rPr>
          <w:b/>
          <w:sz w:val="32"/>
          <w:szCs w:val="32"/>
        </w:rPr>
      </w:pPr>
    </w:p>
    <w:p w14:paraId="4B1B3116" w14:textId="7156584E" w:rsidR="00B163B7" w:rsidRDefault="00B163B7" w:rsidP="00B163B7">
      <w:pPr>
        <w:jc w:val="center"/>
        <w:rPr>
          <w:b/>
          <w:sz w:val="32"/>
          <w:szCs w:val="32"/>
        </w:rPr>
      </w:pPr>
      <w:r>
        <w:rPr>
          <w:b/>
          <w:sz w:val="32"/>
          <w:szCs w:val="32"/>
        </w:rPr>
        <w:t>Supported by: Casey Family Programs</w:t>
      </w:r>
    </w:p>
    <w:p w14:paraId="5D2044E9" w14:textId="4343DCD2" w:rsidR="00B163B7" w:rsidRPr="00B163B7" w:rsidRDefault="00D717F7" w:rsidP="003344D8">
      <w:pPr>
        <w:rPr>
          <w:b/>
          <w:sz w:val="32"/>
          <w:szCs w:val="32"/>
        </w:rPr>
      </w:pPr>
      <w:r>
        <w:rPr>
          <w:rFonts w:eastAsia="Calibri"/>
          <w:b/>
          <w:noProof/>
          <w:color w:val="000000"/>
          <w:spacing w:val="5"/>
          <w:kern w:val="28"/>
          <w:sz w:val="28"/>
          <w:szCs w:val="28"/>
        </w:rPr>
        <w:drawing>
          <wp:anchor distT="0" distB="0" distL="114300" distR="114300" simplePos="0" relativeHeight="251659264" behindDoc="0" locked="0" layoutInCell="1" allowOverlap="1" wp14:anchorId="228E736A" wp14:editId="457BC73B">
            <wp:simplePos x="0" y="0"/>
            <wp:positionH relativeFrom="margin">
              <wp:align>center</wp:align>
            </wp:positionH>
            <wp:positionV relativeFrom="paragraph">
              <wp:posOffset>9525</wp:posOffset>
            </wp:positionV>
            <wp:extent cx="1495425" cy="1019175"/>
            <wp:effectExtent l="0" t="0" r="9525" b="9525"/>
            <wp:wrapThrough wrapText="bothSides">
              <wp:wrapPolygon edited="0">
                <wp:start x="0" y="0"/>
                <wp:lineTo x="0" y="21398"/>
                <wp:lineTo x="21462" y="21398"/>
                <wp:lineTo x="21462" y="0"/>
                <wp:lineTo x="0" y="0"/>
              </wp:wrapPolygon>
            </wp:wrapThrough>
            <wp:docPr id="10" name="Picture 1" descr="http://www.naicja.org/sites/default/files/Casey%20Log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icja.org/sites/default/files/Casey%20Logo_0.jpg"/>
                    <pic:cNvPicPr>
                      <a:picLocks noChangeAspect="1" noChangeArrowheads="1"/>
                    </pic:cNvPicPr>
                  </pic:nvPicPr>
                  <pic:blipFill>
                    <a:blip r:embed="rId8" cstate="print"/>
                    <a:srcRect/>
                    <a:stretch>
                      <a:fillRect/>
                    </a:stretch>
                  </pic:blipFill>
                  <pic:spPr bwMode="auto">
                    <a:xfrm>
                      <a:off x="0" y="0"/>
                      <a:ext cx="1495425" cy="1019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A008393" w14:textId="77777777" w:rsidR="00B163B7" w:rsidRDefault="00B163B7" w:rsidP="003344D8">
      <w:pPr>
        <w:rPr>
          <w:b/>
          <w:sz w:val="28"/>
          <w:szCs w:val="28"/>
        </w:rPr>
      </w:pPr>
    </w:p>
    <w:p w14:paraId="40C46B94" w14:textId="77777777" w:rsidR="00B163B7" w:rsidRDefault="00B163B7" w:rsidP="00D717F7">
      <w:pPr>
        <w:jc w:val="center"/>
        <w:rPr>
          <w:b/>
          <w:sz w:val="28"/>
          <w:szCs w:val="28"/>
        </w:rPr>
      </w:pPr>
    </w:p>
    <w:p w14:paraId="4A5FEA0D" w14:textId="77777777" w:rsidR="00B163B7" w:rsidRDefault="00B163B7" w:rsidP="003344D8">
      <w:pPr>
        <w:rPr>
          <w:b/>
          <w:sz w:val="28"/>
          <w:szCs w:val="28"/>
        </w:rPr>
      </w:pPr>
    </w:p>
    <w:p w14:paraId="5CA2D408" w14:textId="77777777" w:rsidR="00B163B7" w:rsidRDefault="00B163B7" w:rsidP="003344D8">
      <w:pPr>
        <w:rPr>
          <w:b/>
          <w:sz w:val="28"/>
          <w:szCs w:val="28"/>
        </w:rPr>
      </w:pPr>
    </w:p>
    <w:p w14:paraId="6DAD128B" w14:textId="77777777" w:rsidR="00B163B7" w:rsidRDefault="00B163B7" w:rsidP="003344D8">
      <w:pPr>
        <w:rPr>
          <w:b/>
          <w:sz w:val="28"/>
          <w:szCs w:val="28"/>
        </w:rPr>
      </w:pPr>
    </w:p>
    <w:p w14:paraId="403E0BF0" w14:textId="77777777" w:rsidR="00B163B7" w:rsidRDefault="00B163B7" w:rsidP="003344D8">
      <w:pPr>
        <w:rPr>
          <w:b/>
          <w:sz w:val="28"/>
          <w:szCs w:val="28"/>
        </w:rPr>
      </w:pPr>
    </w:p>
    <w:p w14:paraId="17C6C304" w14:textId="76F7CFE0" w:rsidR="00F10D19" w:rsidRPr="00F10D19" w:rsidRDefault="00804CD1" w:rsidP="00676C8F">
      <w:pPr>
        <w:jc w:val="center"/>
        <w:rPr>
          <w:b/>
          <w:sz w:val="28"/>
          <w:szCs w:val="28"/>
        </w:rPr>
      </w:pPr>
      <w:r>
        <w:rPr>
          <w:b/>
          <w:sz w:val="28"/>
          <w:szCs w:val="28"/>
        </w:rPr>
        <w:lastRenderedPageBreak/>
        <w:t>Acknowledgements</w:t>
      </w:r>
    </w:p>
    <w:p w14:paraId="3F341E89" w14:textId="77777777" w:rsidR="00F10D19" w:rsidRDefault="00F10D19" w:rsidP="00676C8F">
      <w:pPr>
        <w:jc w:val="center"/>
        <w:rPr>
          <w:sz w:val="24"/>
          <w:szCs w:val="24"/>
        </w:rPr>
      </w:pPr>
    </w:p>
    <w:p w14:paraId="76C54EFB" w14:textId="773E6E40" w:rsidR="00676C8F" w:rsidRPr="00804CD1" w:rsidRDefault="00F10D19" w:rsidP="00676C8F">
      <w:pPr>
        <w:jc w:val="center"/>
        <w:rPr>
          <w:sz w:val="24"/>
          <w:szCs w:val="24"/>
        </w:rPr>
      </w:pPr>
      <w:r w:rsidRPr="00804CD1">
        <w:rPr>
          <w:sz w:val="24"/>
          <w:szCs w:val="24"/>
        </w:rPr>
        <w:t xml:space="preserve">The Child Welfare Policy and Practice Group is a non-profit technical assistance organization focused on improving child and family outcomes by improving front-line practice.  Information about the organization can be seen at </w:t>
      </w:r>
      <w:hyperlink r:id="rId9" w:history="1">
        <w:r w:rsidRPr="00804CD1">
          <w:rPr>
            <w:rStyle w:val="Hyperlink"/>
            <w:sz w:val="24"/>
            <w:szCs w:val="24"/>
          </w:rPr>
          <w:t>www.childwelfaregroup.org</w:t>
        </w:r>
      </w:hyperlink>
      <w:r w:rsidRPr="00804CD1">
        <w:rPr>
          <w:sz w:val="24"/>
          <w:szCs w:val="24"/>
        </w:rPr>
        <w:t xml:space="preserve">.  </w:t>
      </w:r>
    </w:p>
    <w:p w14:paraId="2F468657" w14:textId="703D655B" w:rsidR="000A6458" w:rsidRDefault="00804CD1" w:rsidP="00F10D19">
      <w:pPr>
        <w:pStyle w:val="NoSpacing"/>
        <w:jc w:val="center"/>
        <w:rPr>
          <w:sz w:val="24"/>
          <w:szCs w:val="24"/>
        </w:rPr>
      </w:pPr>
      <w:r>
        <w:rPr>
          <w:sz w:val="24"/>
          <w:szCs w:val="24"/>
        </w:rPr>
        <w:t xml:space="preserve">Paul Vincent, </w:t>
      </w:r>
      <w:r w:rsidR="000A6458">
        <w:rPr>
          <w:sz w:val="24"/>
          <w:szCs w:val="24"/>
        </w:rPr>
        <w:t>Director</w:t>
      </w:r>
    </w:p>
    <w:p w14:paraId="3D295F6B" w14:textId="130EEE50" w:rsidR="00F10D19" w:rsidRPr="00804CD1" w:rsidRDefault="00F10D19" w:rsidP="00F10D19">
      <w:pPr>
        <w:pStyle w:val="NoSpacing"/>
        <w:jc w:val="center"/>
        <w:rPr>
          <w:sz w:val="24"/>
          <w:szCs w:val="24"/>
        </w:rPr>
      </w:pPr>
      <w:r w:rsidRPr="00804CD1">
        <w:rPr>
          <w:sz w:val="24"/>
          <w:szCs w:val="24"/>
        </w:rPr>
        <w:t>The Child Welfare Policy and Practice Group</w:t>
      </w:r>
    </w:p>
    <w:p w14:paraId="31187A0C" w14:textId="3ED91F45" w:rsidR="00F10D19" w:rsidRPr="00804CD1" w:rsidRDefault="00F10D19" w:rsidP="00F10D19">
      <w:pPr>
        <w:pStyle w:val="NoSpacing"/>
        <w:jc w:val="center"/>
        <w:rPr>
          <w:sz w:val="24"/>
          <w:szCs w:val="24"/>
        </w:rPr>
      </w:pPr>
      <w:r w:rsidRPr="00804CD1">
        <w:rPr>
          <w:sz w:val="24"/>
          <w:szCs w:val="24"/>
        </w:rPr>
        <w:t>428 East Jefferson Street</w:t>
      </w:r>
    </w:p>
    <w:p w14:paraId="516CB092" w14:textId="192D1CBE" w:rsidR="00F10D19" w:rsidRPr="00804CD1" w:rsidRDefault="00F10D19" w:rsidP="00F10D19">
      <w:pPr>
        <w:pStyle w:val="NoSpacing"/>
        <w:jc w:val="center"/>
        <w:rPr>
          <w:sz w:val="24"/>
          <w:szCs w:val="24"/>
        </w:rPr>
      </w:pPr>
      <w:r w:rsidRPr="00804CD1">
        <w:rPr>
          <w:sz w:val="24"/>
          <w:szCs w:val="24"/>
        </w:rPr>
        <w:t>Montgomery, AL 26104</w:t>
      </w:r>
    </w:p>
    <w:p w14:paraId="51BEA0D6" w14:textId="0DE75ED4" w:rsidR="00F10D19" w:rsidRPr="00804CD1" w:rsidRDefault="00F10D19" w:rsidP="00F10D19">
      <w:pPr>
        <w:pStyle w:val="NoSpacing"/>
        <w:jc w:val="center"/>
        <w:rPr>
          <w:sz w:val="24"/>
          <w:szCs w:val="24"/>
        </w:rPr>
      </w:pPr>
      <w:r w:rsidRPr="00804CD1">
        <w:rPr>
          <w:sz w:val="24"/>
          <w:szCs w:val="24"/>
        </w:rPr>
        <w:t>334-264-8300</w:t>
      </w:r>
    </w:p>
    <w:p w14:paraId="72B4672F" w14:textId="77777777" w:rsidR="00F10D19" w:rsidRPr="00804CD1" w:rsidRDefault="00F10D19" w:rsidP="00F10D19">
      <w:pPr>
        <w:pStyle w:val="NoSpacing"/>
        <w:jc w:val="center"/>
        <w:rPr>
          <w:sz w:val="24"/>
          <w:szCs w:val="24"/>
        </w:rPr>
      </w:pPr>
    </w:p>
    <w:p w14:paraId="002D9C19" w14:textId="363FC593" w:rsidR="00F10D19" w:rsidRPr="00804CD1" w:rsidRDefault="00F10D19" w:rsidP="00F10D19">
      <w:pPr>
        <w:pStyle w:val="NoSpacing"/>
        <w:jc w:val="center"/>
        <w:rPr>
          <w:sz w:val="24"/>
          <w:szCs w:val="24"/>
        </w:rPr>
      </w:pPr>
      <w:r w:rsidRPr="00804CD1">
        <w:rPr>
          <w:sz w:val="24"/>
          <w:szCs w:val="24"/>
        </w:rPr>
        <w:t xml:space="preserve">Funding for this evaluation was provided by Casey Family Programs.  The opinions and recommendations included in this report, however, are those of </w:t>
      </w:r>
      <w:r w:rsidR="000A6458">
        <w:rPr>
          <w:sz w:val="24"/>
          <w:szCs w:val="24"/>
        </w:rPr>
        <w:t>T</w:t>
      </w:r>
      <w:r w:rsidRPr="00804CD1">
        <w:rPr>
          <w:sz w:val="24"/>
          <w:szCs w:val="24"/>
        </w:rPr>
        <w:t>he Child Welfare Policy and Practice Group</w:t>
      </w:r>
    </w:p>
    <w:p w14:paraId="24361B8B" w14:textId="77777777" w:rsidR="00F10D19" w:rsidRPr="00804CD1" w:rsidRDefault="00F10D19" w:rsidP="00F10D19">
      <w:pPr>
        <w:pStyle w:val="NoSpacing"/>
        <w:jc w:val="center"/>
        <w:rPr>
          <w:sz w:val="24"/>
          <w:szCs w:val="24"/>
        </w:rPr>
      </w:pPr>
    </w:p>
    <w:p w14:paraId="4ACB56BF" w14:textId="77777777" w:rsidR="00F10D19" w:rsidRPr="00804CD1" w:rsidRDefault="00F10D19" w:rsidP="00F10D19">
      <w:pPr>
        <w:pStyle w:val="NoSpacing"/>
        <w:jc w:val="center"/>
        <w:rPr>
          <w:sz w:val="24"/>
          <w:szCs w:val="24"/>
        </w:rPr>
      </w:pPr>
    </w:p>
    <w:p w14:paraId="75CBC084" w14:textId="24F2F5A7" w:rsidR="00F10D19" w:rsidRPr="00804CD1" w:rsidRDefault="00F10D19" w:rsidP="00F10D19">
      <w:pPr>
        <w:pStyle w:val="NoSpacing"/>
        <w:jc w:val="center"/>
        <w:rPr>
          <w:sz w:val="24"/>
          <w:szCs w:val="24"/>
        </w:rPr>
      </w:pPr>
      <w:r w:rsidRPr="00804CD1">
        <w:rPr>
          <w:sz w:val="24"/>
          <w:szCs w:val="24"/>
        </w:rPr>
        <w:t>Gratitude is expressed to the many dedicated DCFS staff, stakeholders and individuals who committed time to contribute to this report through interviews and sharing of written materials.  Their input was essential to conducting this evaluation.</w:t>
      </w:r>
    </w:p>
    <w:p w14:paraId="24A56DB5" w14:textId="77777777" w:rsidR="00F10D19" w:rsidRPr="00804CD1" w:rsidRDefault="00F10D19" w:rsidP="00F10D19">
      <w:pPr>
        <w:pStyle w:val="NoSpacing"/>
        <w:jc w:val="center"/>
        <w:rPr>
          <w:sz w:val="24"/>
          <w:szCs w:val="24"/>
        </w:rPr>
      </w:pPr>
    </w:p>
    <w:p w14:paraId="0A73FD94" w14:textId="77777777" w:rsidR="00676C8F" w:rsidRDefault="00676C8F" w:rsidP="00676C8F">
      <w:pPr>
        <w:jc w:val="center"/>
        <w:rPr>
          <w:b/>
          <w:sz w:val="28"/>
          <w:szCs w:val="28"/>
        </w:rPr>
      </w:pPr>
    </w:p>
    <w:p w14:paraId="1ED3DD20" w14:textId="77777777" w:rsidR="00676C8F" w:rsidRDefault="00676C8F" w:rsidP="00676C8F">
      <w:pPr>
        <w:jc w:val="center"/>
        <w:rPr>
          <w:b/>
          <w:sz w:val="28"/>
          <w:szCs w:val="28"/>
        </w:rPr>
      </w:pPr>
    </w:p>
    <w:p w14:paraId="40D6DD9B" w14:textId="77777777" w:rsidR="00676C8F" w:rsidRDefault="00676C8F" w:rsidP="00676C8F">
      <w:pPr>
        <w:jc w:val="center"/>
        <w:rPr>
          <w:b/>
          <w:sz w:val="28"/>
          <w:szCs w:val="28"/>
        </w:rPr>
      </w:pPr>
    </w:p>
    <w:p w14:paraId="0E005A01" w14:textId="77777777" w:rsidR="00676C8F" w:rsidRDefault="00676C8F" w:rsidP="00676C8F">
      <w:pPr>
        <w:jc w:val="center"/>
        <w:rPr>
          <w:b/>
          <w:sz w:val="28"/>
          <w:szCs w:val="28"/>
        </w:rPr>
      </w:pPr>
    </w:p>
    <w:p w14:paraId="3E8991E9" w14:textId="77777777" w:rsidR="00676C8F" w:rsidRDefault="00676C8F" w:rsidP="00676C8F">
      <w:pPr>
        <w:jc w:val="center"/>
        <w:rPr>
          <w:b/>
          <w:sz w:val="28"/>
          <w:szCs w:val="28"/>
        </w:rPr>
      </w:pPr>
    </w:p>
    <w:p w14:paraId="3EAF5E4D" w14:textId="77777777" w:rsidR="00676C8F" w:rsidRDefault="00676C8F" w:rsidP="00676C8F">
      <w:pPr>
        <w:jc w:val="center"/>
        <w:rPr>
          <w:b/>
          <w:sz w:val="28"/>
          <w:szCs w:val="28"/>
        </w:rPr>
      </w:pPr>
    </w:p>
    <w:p w14:paraId="68C194D3" w14:textId="77777777" w:rsidR="00676C8F" w:rsidRDefault="00676C8F" w:rsidP="00676C8F">
      <w:pPr>
        <w:jc w:val="center"/>
        <w:rPr>
          <w:b/>
          <w:sz w:val="28"/>
          <w:szCs w:val="28"/>
        </w:rPr>
      </w:pPr>
    </w:p>
    <w:p w14:paraId="65774F39" w14:textId="77777777" w:rsidR="00676C8F" w:rsidRDefault="00676C8F" w:rsidP="00676C8F">
      <w:pPr>
        <w:jc w:val="center"/>
        <w:rPr>
          <w:b/>
          <w:sz w:val="28"/>
          <w:szCs w:val="28"/>
        </w:rPr>
      </w:pPr>
    </w:p>
    <w:p w14:paraId="2D271F1E" w14:textId="77777777" w:rsidR="00676C8F" w:rsidRDefault="00676C8F" w:rsidP="00676C8F">
      <w:pPr>
        <w:jc w:val="center"/>
        <w:rPr>
          <w:b/>
          <w:sz w:val="28"/>
          <w:szCs w:val="28"/>
        </w:rPr>
      </w:pPr>
    </w:p>
    <w:p w14:paraId="18426047" w14:textId="77777777" w:rsidR="00D83F5C" w:rsidRDefault="00D83F5C" w:rsidP="002A5BBD">
      <w:pPr>
        <w:pStyle w:val="NoSpacing"/>
        <w:jc w:val="center"/>
        <w:rPr>
          <w:b/>
          <w:sz w:val="28"/>
          <w:szCs w:val="28"/>
        </w:rPr>
      </w:pPr>
    </w:p>
    <w:p w14:paraId="4574449B" w14:textId="77777777" w:rsidR="00D83F5C" w:rsidRDefault="00D83F5C" w:rsidP="002A5BBD">
      <w:pPr>
        <w:pStyle w:val="NoSpacing"/>
        <w:jc w:val="center"/>
        <w:rPr>
          <w:b/>
          <w:sz w:val="28"/>
          <w:szCs w:val="28"/>
        </w:rPr>
      </w:pPr>
    </w:p>
    <w:p w14:paraId="1878CCB9" w14:textId="77777777" w:rsidR="00D83F5C" w:rsidRDefault="00D83F5C" w:rsidP="002A5BBD">
      <w:pPr>
        <w:pStyle w:val="NoSpacing"/>
        <w:jc w:val="center"/>
        <w:rPr>
          <w:b/>
          <w:sz w:val="28"/>
          <w:szCs w:val="28"/>
        </w:rPr>
      </w:pPr>
    </w:p>
    <w:p w14:paraId="274A54F4" w14:textId="77777777" w:rsidR="001F5BE9" w:rsidRDefault="001F5BE9" w:rsidP="002A5BBD">
      <w:pPr>
        <w:pStyle w:val="NoSpacing"/>
        <w:jc w:val="center"/>
        <w:rPr>
          <w:b/>
          <w:sz w:val="28"/>
          <w:szCs w:val="28"/>
        </w:rPr>
      </w:pPr>
    </w:p>
    <w:p w14:paraId="27E0459E" w14:textId="77777777" w:rsidR="002A5BBD" w:rsidRDefault="002A5BBD" w:rsidP="002A5BBD">
      <w:pPr>
        <w:pStyle w:val="NoSpacing"/>
        <w:jc w:val="center"/>
        <w:rPr>
          <w:b/>
          <w:sz w:val="28"/>
          <w:szCs w:val="28"/>
        </w:rPr>
      </w:pPr>
      <w:r>
        <w:rPr>
          <w:b/>
          <w:sz w:val="28"/>
          <w:szCs w:val="28"/>
        </w:rPr>
        <w:t>Table of Contents</w:t>
      </w:r>
    </w:p>
    <w:p w14:paraId="584ED7DE" w14:textId="77777777" w:rsidR="002A5BBD" w:rsidRDefault="002A5BBD" w:rsidP="002A5BBD">
      <w:pPr>
        <w:pStyle w:val="NoSpacing"/>
        <w:jc w:val="center"/>
        <w:rPr>
          <w:b/>
          <w:sz w:val="28"/>
          <w:szCs w:val="28"/>
        </w:rPr>
      </w:pPr>
    </w:p>
    <w:p w14:paraId="63BC3AE9" w14:textId="2346D598" w:rsidR="002A5BBD" w:rsidRPr="00E358B7" w:rsidRDefault="00E358B7" w:rsidP="00E358B7">
      <w:pPr>
        <w:pStyle w:val="NoSpacing"/>
        <w:rPr>
          <w:sz w:val="24"/>
          <w:szCs w:val="24"/>
        </w:rPr>
      </w:pPr>
      <w:r w:rsidRPr="00E358B7">
        <w:rPr>
          <w:sz w:val="24"/>
          <w:szCs w:val="24"/>
        </w:rPr>
        <w:t xml:space="preserve">             Executive Summary</w:t>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t>4</w:t>
      </w:r>
    </w:p>
    <w:p w14:paraId="61DB8D12" w14:textId="77777777" w:rsidR="002A5BBD" w:rsidRDefault="002A5BBD" w:rsidP="00E358B7">
      <w:pPr>
        <w:pStyle w:val="NoSpacing"/>
        <w:rPr>
          <w:b/>
          <w:sz w:val="28"/>
          <w:szCs w:val="28"/>
        </w:rPr>
      </w:pPr>
    </w:p>
    <w:p w14:paraId="1F8BD4F1" w14:textId="07B8020F" w:rsidR="002A5BBD" w:rsidRDefault="002A5BBD" w:rsidP="001E1F8D">
      <w:pPr>
        <w:pStyle w:val="NoSpacing"/>
        <w:numPr>
          <w:ilvl w:val="0"/>
          <w:numId w:val="13"/>
        </w:numPr>
        <w:rPr>
          <w:sz w:val="24"/>
          <w:szCs w:val="24"/>
        </w:rPr>
      </w:pPr>
      <w:r w:rsidRPr="002A5BBD">
        <w:rPr>
          <w:sz w:val="24"/>
          <w:szCs w:val="24"/>
        </w:rPr>
        <w:t>Introduction</w:t>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t>8</w:t>
      </w:r>
      <w:r w:rsidR="00B122DF">
        <w:rPr>
          <w:sz w:val="24"/>
          <w:szCs w:val="24"/>
        </w:rPr>
        <w:tab/>
      </w:r>
    </w:p>
    <w:p w14:paraId="74657876" w14:textId="77777777" w:rsidR="002A5BBD" w:rsidRDefault="002A5BBD" w:rsidP="002A5BBD">
      <w:pPr>
        <w:pStyle w:val="NoSpacing"/>
        <w:rPr>
          <w:sz w:val="24"/>
          <w:szCs w:val="24"/>
        </w:rPr>
      </w:pPr>
    </w:p>
    <w:p w14:paraId="73CB2D11" w14:textId="4A3CDFAB" w:rsidR="002A5BBD" w:rsidRDefault="002A5BBD" w:rsidP="001E1F8D">
      <w:pPr>
        <w:pStyle w:val="NoSpacing"/>
        <w:numPr>
          <w:ilvl w:val="0"/>
          <w:numId w:val="13"/>
        </w:numPr>
        <w:rPr>
          <w:sz w:val="24"/>
          <w:szCs w:val="24"/>
        </w:rPr>
      </w:pPr>
      <w:r>
        <w:rPr>
          <w:sz w:val="24"/>
          <w:szCs w:val="24"/>
        </w:rPr>
        <w:t>Methodology</w:t>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t>8</w:t>
      </w:r>
    </w:p>
    <w:p w14:paraId="548CDC16" w14:textId="77777777" w:rsidR="002A5BBD" w:rsidRDefault="002A5BBD" w:rsidP="002A5BBD">
      <w:pPr>
        <w:pStyle w:val="NoSpacing"/>
        <w:rPr>
          <w:sz w:val="24"/>
          <w:szCs w:val="24"/>
        </w:rPr>
      </w:pPr>
    </w:p>
    <w:p w14:paraId="5C13D876" w14:textId="625E98D4" w:rsidR="002A5BBD" w:rsidRDefault="002A5BBD" w:rsidP="001E1F8D">
      <w:pPr>
        <w:pStyle w:val="NoSpacing"/>
        <w:numPr>
          <w:ilvl w:val="0"/>
          <w:numId w:val="13"/>
        </w:numPr>
        <w:rPr>
          <w:sz w:val="24"/>
          <w:szCs w:val="24"/>
        </w:rPr>
      </w:pPr>
      <w:r>
        <w:rPr>
          <w:sz w:val="24"/>
          <w:szCs w:val="24"/>
        </w:rPr>
        <w:t>A Snapshot of the System</w:t>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t>8</w:t>
      </w:r>
    </w:p>
    <w:p w14:paraId="00640F3F" w14:textId="77777777" w:rsidR="002A5BBD" w:rsidRDefault="002A5BBD" w:rsidP="002A5BBD">
      <w:pPr>
        <w:pStyle w:val="NoSpacing"/>
        <w:rPr>
          <w:sz w:val="24"/>
          <w:szCs w:val="24"/>
        </w:rPr>
      </w:pPr>
    </w:p>
    <w:p w14:paraId="1A45FAC8" w14:textId="70165541" w:rsidR="002A5BBD" w:rsidRDefault="002A5BBD" w:rsidP="001E1F8D">
      <w:pPr>
        <w:pStyle w:val="NoSpacing"/>
        <w:numPr>
          <w:ilvl w:val="0"/>
          <w:numId w:val="13"/>
        </w:numPr>
        <w:rPr>
          <w:sz w:val="24"/>
          <w:szCs w:val="24"/>
        </w:rPr>
      </w:pPr>
      <w:r>
        <w:rPr>
          <w:sz w:val="24"/>
          <w:szCs w:val="24"/>
        </w:rPr>
        <w:t>DCFS and System Strengths</w:t>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t xml:space="preserve">           10</w:t>
      </w:r>
    </w:p>
    <w:p w14:paraId="2EB72B4F" w14:textId="77777777" w:rsidR="002A5BBD" w:rsidRDefault="002A5BBD" w:rsidP="002A5BBD">
      <w:pPr>
        <w:pStyle w:val="NoSpacing"/>
        <w:rPr>
          <w:sz w:val="24"/>
          <w:szCs w:val="24"/>
        </w:rPr>
      </w:pPr>
    </w:p>
    <w:p w14:paraId="44054AD1" w14:textId="5FDF2847" w:rsidR="002A5BBD" w:rsidRDefault="002A5BBD" w:rsidP="001E1F8D">
      <w:pPr>
        <w:pStyle w:val="NoSpacing"/>
        <w:numPr>
          <w:ilvl w:val="0"/>
          <w:numId w:val="13"/>
        </w:numPr>
        <w:rPr>
          <w:sz w:val="24"/>
          <w:szCs w:val="24"/>
        </w:rPr>
      </w:pPr>
      <w:r>
        <w:rPr>
          <w:sz w:val="24"/>
          <w:szCs w:val="24"/>
        </w:rPr>
        <w:t>Child Safety</w:t>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t xml:space="preserve">           11</w:t>
      </w:r>
    </w:p>
    <w:p w14:paraId="1A141AF4" w14:textId="77777777" w:rsidR="002A5BBD" w:rsidRDefault="002A5BBD" w:rsidP="002A5BBD">
      <w:pPr>
        <w:pStyle w:val="NoSpacing"/>
        <w:rPr>
          <w:sz w:val="24"/>
          <w:szCs w:val="24"/>
        </w:rPr>
      </w:pPr>
    </w:p>
    <w:p w14:paraId="5055C41D" w14:textId="56F2611B" w:rsidR="002A5BBD" w:rsidRPr="00B122DF" w:rsidRDefault="002A5BBD" w:rsidP="002A5BBD">
      <w:pPr>
        <w:pStyle w:val="NoSpacing"/>
        <w:numPr>
          <w:ilvl w:val="0"/>
          <w:numId w:val="13"/>
        </w:numPr>
        <w:rPr>
          <w:sz w:val="24"/>
          <w:szCs w:val="24"/>
        </w:rPr>
      </w:pPr>
      <w:r>
        <w:rPr>
          <w:sz w:val="24"/>
          <w:szCs w:val="24"/>
        </w:rPr>
        <w:t>Permanency</w:t>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t xml:space="preserve">           19</w:t>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p>
    <w:p w14:paraId="218EA2FE" w14:textId="0EAD2809" w:rsidR="002A5BBD" w:rsidRDefault="002A5BBD" w:rsidP="001E1F8D">
      <w:pPr>
        <w:pStyle w:val="NoSpacing"/>
        <w:numPr>
          <w:ilvl w:val="0"/>
          <w:numId w:val="13"/>
        </w:numPr>
        <w:rPr>
          <w:sz w:val="24"/>
          <w:szCs w:val="24"/>
        </w:rPr>
      </w:pPr>
      <w:r>
        <w:rPr>
          <w:sz w:val="24"/>
          <w:szCs w:val="24"/>
        </w:rPr>
        <w:t>Adoption</w:t>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t xml:space="preserve">           24</w:t>
      </w:r>
    </w:p>
    <w:p w14:paraId="780FBB91" w14:textId="77777777" w:rsidR="002A5BBD" w:rsidRDefault="002A5BBD" w:rsidP="002A5BBD">
      <w:pPr>
        <w:pStyle w:val="NoSpacing"/>
        <w:rPr>
          <w:sz w:val="24"/>
          <w:szCs w:val="24"/>
        </w:rPr>
      </w:pPr>
    </w:p>
    <w:p w14:paraId="0546C91D" w14:textId="35F3ED90" w:rsidR="002A5BBD" w:rsidRDefault="002A5BBD" w:rsidP="001E1F8D">
      <w:pPr>
        <w:pStyle w:val="NoSpacing"/>
        <w:numPr>
          <w:ilvl w:val="0"/>
          <w:numId w:val="13"/>
        </w:numPr>
        <w:rPr>
          <w:sz w:val="24"/>
          <w:szCs w:val="24"/>
        </w:rPr>
      </w:pPr>
      <w:r>
        <w:rPr>
          <w:sz w:val="24"/>
          <w:szCs w:val="24"/>
        </w:rPr>
        <w:t>Child Well Being</w:t>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t xml:space="preserve">           26</w:t>
      </w:r>
    </w:p>
    <w:p w14:paraId="079E010E" w14:textId="77777777" w:rsidR="002A5BBD" w:rsidRDefault="002A5BBD" w:rsidP="002A5BBD">
      <w:pPr>
        <w:pStyle w:val="NoSpacing"/>
        <w:rPr>
          <w:sz w:val="24"/>
          <w:szCs w:val="24"/>
        </w:rPr>
      </w:pPr>
    </w:p>
    <w:p w14:paraId="03260486" w14:textId="3CBADDD4" w:rsidR="002A5BBD" w:rsidRDefault="002A5BBD" w:rsidP="001E1F8D">
      <w:pPr>
        <w:pStyle w:val="NoSpacing"/>
        <w:numPr>
          <w:ilvl w:val="0"/>
          <w:numId w:val="13"/>
        </w:numPr>
        <w:rPr>
          <w:sz w:val="24"/>
          <w:szCs w:val="24"/>
        </w:rPr>
      </w:pPr>
      <w:r>
        <w:rPr>
          <w:sz w:val="24"/>
          <w:szCs w:val="24"/>
        </w:rPr>
        <w:t>The Front-Line DCFS Environment</w:t>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t xml:space="preserve">           27</w:t>
      </w:r>
    </w:p>
    <w:p w14:paraId="64882D78" w14:textId="77777777" w:rsidR="002A5BBD" w:rsidRDefault="002A5BBD" w:rsidP="002A5BBD">
      <w:pPr>
        <w:pStyle w:val="NoSpacing"/>
        <w:rPr>
          <w:sz w:val="24"/>
          <w:szCs w:val="24"/>
        </w:rPr>
      </w:pPr>
    </w:p>
    <w:p w14:paraId="152454B7" w14:textId="0B786F4E" w:rsidR="002A5BBD" w:rsidRDefault="001E1F8D" w:rsidP="001E1F8D">
      <w:pPr>
        <w:pStyle w:val="NoSpacing"/>
        <w:numPr>
          <w:ilvl w:val="0"/>
          <w:numId w:val="13"/>
        </w:numPr>
        <w:rPr>
          <w:sz w:val="24"/>
          <w:szCs w:val="24"/>
        </w:rPr>
      </w:pPr>
      <w:r>
        <w:rPr>
          <w:sz w:val="24"/>
          <w:szCs w:val="24"/>
        </w:rPr>
        <w:t>Resource Availability</w:t>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t xml:space="preserve">           30</w:t>
      </w:r>
    </w:p>
    <w:p w14:paraId="1ECE5001" w14:textId="77777777" w:rsidR="001E1F8D" w:rsidRDefault="001E1F8D" w:rsidP="002A5BBD">
      <w:pPr>
        <w:pStyle w:val="NoSpacing"/>
        <w:rPr>
          <w:sz w:val="24"/>
          <w:szCs w:val="24"/>
        </w:rPr>
      </w:pPr>
    </w:p>
    <w:p w14:paraId="0A0ED847" w14:textId="2E2410BB" w:rsidR="001E1F8D" w:rsidRDefault="001E1F8D" w:rsidP="001E1F8D">
      <w:pPr>
        <w:pStyle w:val="NoSpacing"/>
        <w:numPr>
          <w:ilvl w:val="0"/>
          <w:numId w:val="13"/>
        </w:numPr>
        <w:rPr>
          <w:sz w:val="24"/>
          <w:szCs w:val="24"/>
        </w:rPr>
      </w:pPr>
      <w:r>
        <w:rPr>
          <w:sz w:val="24"/>
          <w:szCs w:val="24"/>
        </w:rPr>
        <w:t>Workload and Caseload</w:t>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t xml:space="preserve">           32</w:t>
      </w:r>
    </w:p>
    <w:p w14:paraId="768BDAA8" w14:textId="77777777" w:rsidR="001E1F8D" w:rsidRDefault="001E1F8D" w:rsidP="002A5BBD">
      <w:pPr>
        <w:pStyle w:val="NoSpacing"/>
        <w:rPr>
          <w:sz w:val="24"/>
          <w:szCs w:val="24"/>
        </w:rPr>
      </w:pPr>
    </w:p>
    <w:p w14:paraId="18EA1A95" w14:textId="38A291F4" w:rsidR="001E1F8D" w:rsidRDefault="001E1F8D" w:rsidP="001E1F8D">
      <w:pPr>
        <w:pStyle w:val="NoSpacing"/>
        <w:numPr>
          <w:ilvl w:val="0"/>
          <w:numId w:val="13"/>
        </w:numPr>
        <w:rPr>
          <w:sz w:val="24"/>
          <w:szCs w:val="24"/>
        </w:rPr>
      </w:pPr>
      <w:r>
        <w:rPr>
          <w:sz w:val="24"/>
          <w:szCs w:val="24"/>
        </w:rPr>
        <w:t>DCFS Relationship with State and Community Partners</w:t>
      </w:r>
      <w:r w:rsidR="00B122DF">
        <w:rPr>
          <w:sz w:val="24"/>
          <w:szCs w:val="24"/>
        </w:rPr>
        <w:t xml:space="preserve">                                 35</w:t>
      </w:r>
    </w:p>
    <w:p w14:paraId="279B6C7B" w14:textId="77777777" w:rsidR="001E1F8D" w:rsidRDefault="001E1F8D" w:rsidP="002A5BBD">
      <w:pPr>
        <w:pStyle w:val="NoSpacing"/>
        <w:rPr>
          <w:sz w:val="24"/>
          <w:szCs w:val="24"/>
        </w:rPr>
      </w:pPr>
    </w:p>
    <w:p w14:paraId="780CDCC4" w14:textId="0D35DE12" w:rsidR="001E1F8D" w:rsidRDefault="001E1F8D" w:rsidP="001E1F8D">
      <w:pPr>
        <w:pStyle w:val="NoSpacing"/>
        <w:numPr>
          <w:ilvl w:val="0"/>
          <w:numId w:val="13"/>
        </w:numPr>
        <w:rPr>
          <w:sz w:val="24"/>
          <w:szCs w:val="24"/>
        </w:rPr>
      </w:pPr>
      <w:r>
        <w:rPr>
          <w:sz w:val="24"/>
          <w:szCs w:val="24"/>
        </w:rPr>
        <w:t>Recommendations</w:t>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t xml:space="preserve">           37</w:t>
      </w:r>
    </w:p>
    <w:p w14:paraId="109D626F" w14:textId="77777777" w:rsidR="001E1F8D" w:rsidRDefault="001E1F8D" w:rsidP="002A5BBD">
      <w:pPr>
        <w:pStyle w:val="NoSpacing"/>
        <w:rPr>
          <w:sz w:val="24"/>
          <w:szCs w:val="24"/>
        </w:rPr>
      </w:pPr>
    </w:p>
    <w:p w14:paraId="00D5F533" w14:textId="2ED49650" w:rsidR="001E1F8D" w:rsidRDefault="001E1F8D" w:rsidP="001E1F8D">
      <w:pPr>
        <w:pStyle w:val="NoSpacing"/>
        <w:numPr>
          <w:ilvl w:val="0"/>
          <w:numId w:val="13"/>
        </w:numPr>
        <w:rPr>
          <w:sz w:val="24"/>
          <w:szCs w:val="24"/>
        </w:rPr>
      </w:pPr>
      <w:r>
        <w:rPr>
          <w:sz w:val="24"/>
          <w:szCs w:val="24"/>
        </w:rPr>
        <w:t>Appendix</w:t>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t xml:space="preserve">           44</w:t>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r w:rsidR="00B122DF">
        <w:rPr>
          <w:sz w:val="24"/>
          <w:szCs w:val="24"/>
        </w:rPr>
        <w:tab/>
      </w:r>
    </w:p>
    <w:p w14:paraId="2DD2B8F0" w14:textId="77777777" w:rsidR="002A5BBD" w:rsidRDefault="002A5BBD" w:rsidP="002A5BBD">
      <w:pPr>
        <w:pStyle w:val="NoSpacing"/>
        <w:rPr>
          <w:sz w:val="24"/>
          <w:szCs w:val="24"/>
        </w:rPr>
      </w:pPr>
    </w:p>
    <w:p w14:paraId="0D11FAA0" w14:textId="77777777" w:rsidR="002A5BBD" w:rsidRPr="002A5BBD" w:rsidRDefault="002A5BBD" w:rsidP="002A5BBD">
      <w:pPr>
        <w:pStyle w:val="NoSpacing"/>
        <w:rPr>
          <w:sz w:val="24"/>
          <w:szCs w:val="24"/>
        </w:rPr>
      </w:pPr>
    </w:p>
    <w:p w14:paraId="5EC276DC" w14:textId="77777777" w:rsidR="002A5BBD" w:rsidRDefault="002A5BBD" w:rsidP="00676C8F">
      <w:pPr>
        <w:jc w:val="center"/>
        <w:rPr>
          <w:b/>
          <w:sz w:val="28"/>
          <w:szCs w:val="28"/>
        </w:rPr>
      </w:pPr>
    </w:p>
    <w:p w14:paraId="6556C484" w14:textId="77777777" w:rsidR="002A5BBD" w:rsidRDefault="002A5BBD" w:rsidP="00676C8F">
      <w:pPr>
        <w:jc w:val="center"/>
        <w:rPr>
          <w:b/>
          <w:sz w:val="28"/>
          <w:szCs w:val="28"/>
        </w:rPr>
      </w:pPr>
    </w:p>
    <w:p w14:paraId="4CBDD9B0" w14:textId="77777777" w:rsidR="002A5BBD" w:rsidRDefault="002A5BBD" w:rsidP="00676C8F">
      <w:pPr>
        <w:jc w:val="center"/>
        <w:rPr>
          <w:b/>
          <w:sz w:val="28"/>
          <w:szCs w:val="28"/>
        </w:rPr>
      </w:pPr>
    </w:p>
    <w:p w14:paraId="2A5517B2" w14:textId="77777777" w:rsidR="002A5BBD" w:rsidRDefault="002A5BBD" w:rsidP="00676C8F">
      <w:pPr>
        <w:jc w:val="center"/>
        <w:rPr>
          <w:b/>
          <w:sz w:val="28"/>
          <w:szCs w:val="28"/>
        </w:rPr>
      </w:pPr>
    </w:p>
    <w:p w14:paraId="1D7ACA94" w14:textId="77777777" w:rsidR="002A5BBD" w:rsidRDefault="002A5BBD" w:rsidP="00676C8F">
      <w:pPr>
        <w:jc w:val="center"/>
        <w:rPr>
          <w:b/>
          <w:sz w:val="28"/>
          <w:szCs w:val="28"/>
        </w:rPr>
      </w:pPr>
    </w:p>
    <w:p w14:paraId="0ABA4B1D" w14:textId="77777777" w:rsidR="002A5BBD" w:rsidRDefault="002A5BBD" w:rsidP="00676C8F">
      <w:pPr>
        <w:jc w:val="center"/>
        <w:rPr>
          <w:b/>
          <w:sz w:val="28"/>
          <w:szCs w:val="28"/>
        </w:rPr>
      </w:pPr>
    </w:p>
    <w:p w14:paraId="275CD845" w14:textId="648C0AAD" w:rsidR="00B163B7" w:rsidRDefault="00676C8F" w:rsidP="00676C8F">
      <w:pPr>
        <w:jc w:val="center"/>
        <w:rPr>
          <w:b/>
          <w:sz w:val="28"/>
          <w:szCs w:val="28"/>
        </w:rPr>
      </w:pPr>
      <w:r>
        <w:rPr>
          <w:b/>
          <w:sz w:val="28"/>
          <w:szCs w:val="28"/>
        </w:rPr>
        <w:t>Executive Summary</w:t>
      </w:r>
    </w:p>
    <w:p w14:paraId="2FE19FFE" w14:textId="77777777" w:rsidR="00B163B7" w:rsidRDefault="00B163B7" w:rsidP="003344D8">
      <w:pPr>
        <w:rPr>
          <w:b/>
          <w:sz w:val="28"/>
          <w:szCs w:val="28"/>
        </w:rPr>
      </w:pPr>
    </w:p>
    <w:p w14:paraId="2C2EB58D" w14:textId="16F7AA9B" w:rsidR="00610A53" w:rsidRPr="002F0D8E" w:rsidRDefault="00610A53" w:rsidP="003344D8">
      <w:pPr>
        <w:rPr>
          <w:b/>
          <w:i/>
          <w:sz w:val="24"/>
          <w:szCs w:val="24"/>
        </w:rPr>
      </w:pPr>
      <w:r w:rsidRPr="002F0D8E">
        <w:rPr>
          <w:b/>
          <w:i/>
          <w:sz w:val="24"/>
          <w:szCs w:val="24"/>
        </w:rPr>
        <w:t>Introduction</w:t>
      </w:r>
    </w:p>
    <w:p w14:paraId="332E9A88" w14:textId="14538020" w:rsidR="00610A53" w:rsidRDefault="00610A53" w:rsidP="003344D8">
      <w:pPr>
        <w:rPr>
          <w:sz w:val="24"/>
          <w:szCs w:val="24"/>
        </w:rPr>
      </w:pPr>
      <w:r>
        <w:rPr>
          <w:sz w:val="24"/>
          <w:szCs w:val="24"/>
        </w:rPr>
        <w:t xml:space="preserve">In </w:t>
      </w:r>
      <w:r w:rsidR="000A6458">
        <w:rPr>
          <w:sz w:val="24"/>
          <w:szCs w:val="24"/>
        </w:rPr>
        <w:t>March</w:t>
      </w:r>
      <w:r>
        <w:rPr>
          <w:sz w:val="24"/>
          <w:szCs w:val="24"/>
        </w:rPr>
        <w:t xml:space="preserve"> of 2015, Governor Hutchinson commissioned a broad review of DCFS operations and performance, intended to identify what worked well, what needed improvement and how </w:t>
      </w:r>
      <w:r w:rsidR="000A6458">
        <w:rPr>
          <w:sz w:val="24"/>
          <w:szCs w:val="24"/>
        </w:rPr>
        <w:t>the system</w:t>
      </w:r>
      <w:r>
        <w:rPr>
          <w:sz w:val="24"/>
          <w:szCs w:val="24"/>
        </w:rPr>
        <w:t xml:space="preserve"> might be strengthened.  Paul Vincent, Director of The Child Welfare Policy and Practice Group</w:t>
      </w:r>
      <w:r w:rsidR="00AD445E">
        <w:rPr>
          <w:sz w:val="24"/>
          <w:szCs w:val="24"/>
        </w:rPr>
        <w:t>, a</w:t>
      </w:r>
      <w:r>
        <w:rPr>
          <w:sz w:val="24"/>
          <w:szCs w:val="24"/>
        </w:rPr>
        <w:t xml:space="preserve"> nonprofit technical assistance organization, was asked to conduct the review.  Casey Family Programs</w:t>
      </w:r>
      <w:r w:rsidR="00AD445E">
        <w:rPr>
          <w:sz w:val="24"/>
          <w:szCs w:val="24"/>
        </w:rPr>
        <w:t>, which has been assisting the S</w:t>
      </w:r>
      <w:r>
        <w:rPr>
          <w:sz w:val="24"/>
          <w:szCs w:val="24"/>
        </w:rPr>
        <w:t xml:space="preserve">tate, agreed to support the review financially.  </w:t>
      </w:r>
    </w:p>
    <w:p w14:paraId="59610A2B" w14:textId="548FB7A9" w:rsidR="00763113" w:rsidRDefault="00763113" w:rsidP="003344D8">
      <w:pPr>
        <w:rPr>
          <w:sz w:val="24"/>
          <w:szCs w:val="24"/>
        </w:rPr>
      </w:pPr>
      <w:r w:rsidRPr="00763113">
        <w:rPr>
          <w:sz w:val="24"/>
          <w:szCs w:val="24"/>
        </w:rPr>
        <w:t>This review of the Arkansas child welfare system</w:t>
      </w:r>
      <w:r w:rsidR="00610A53">
        <w:rPr>
          <w:sz w:val="24"/>
          <w:szCs w:val="24"/>
        </w:rPr>
        <w:t xml:space="preserve"> and </w:t>
      </w:r>
      <w:r>
        <w:rPr>
          <w:sz w:val="24"/>
          <w:szCs w:val="24"/>
        </w:rPr>
        <w:t xml:space="preserve">specifically </w:t>
      </w:r>
      <w:r w:rsidR="00610A53">
        <w:rPr>
          <w:sz w:val="24"/>
          <w:szCs w:val="24"/>
        </w:rPr>
        <w:t>the Divisi</w:t>
      </w:r>
      <w:r w:rsidR="000A6458">
        <w:rPr>
          <w:sz w:val="24"/>
          <w:szCs w:val="24"/>
        </w:rPr>
        <w:t>on of Child and Family Services</w:t>
      </w:r>
      <w:r w:rsidR="00610A53">
        <w:rPr>
          <w:sz w:val="24"/>
          <w:szCs w:val="24"/>
        </w:rPr>
        <w:t xml:space="preserve"> (</w:t>
      </w:r>
      <w:r>
        <w:rPr>
          <w:sz w:val="24"/>
          <w:szCs w:val="24"/>
        </w:rPr>
        <w:t>DCFS</w:t>
      </w:r>
      <w:r w:rsidR="00610A53">
        <w:rPr>
          <w:sz w:val="24"/>
          <w:szCs w:val="24"/>
        </w:rPr>
        <w:t>)</w:t>
      </w:r>
      <w:r>
        <w:rPr>
          <w:sz w:val="24"/>
          <w:szCs w:val="24"/>
        </w:rPr>
        <w:t xml:space="preserve"> was conducted by reviewing DCFS policy and procedures, agency performance and trend data, in</w:t>
      </w:r>
      <w:r w:rsidR="00AD445E">
        <w:rPr>
          <w:sz w:val="24"/>
          <w:szCs w:val="24"/>
        </w:rPr>
        <w:t xml:space="preserve">ternal studies and interviews with </w:t>
      </w:r>
      <w:r w:rsidR="008526D7">
        <w:rPr>
          <w:sz w:val="24"/>
          <w:szCs w:val="24"/>
        </w:rPr>
        <w:t>approximately 200</w:t>
      </w:r>
      <w:r>
        <w:rPr>
          <w:sz w:val="24"/>
          <w:szCs w:val="24"/>
        </w:rPr>
        <w:t xml:space="preserve"> DCFS staff and external stakeholders.  DCFS staff at all levels were interviewed and external stakeholders consisted of legislators, judges, other state agency representatives, other legal partners, foster and adoptive parents, service providers, former foster youth, advocates and other individuals and groups with an interest in the welfare of children.  The input of those individuals was critical to the accurate analysis of the child welfare system.</w:t>
      </w:r>
      <w:r w:rsidR="00AD445E">
        <w:rPr>
          <w:sz w:val="24"/>
          <w:szCs w:val="24"/>
        </w:rPr>
        <w:t xml:space="preserve">  A list of the stakeholder groups </w:t>
      </w:r>
      <w:r>
        <w:rPr>
          <w:sz w:val="24"/>
          <w:szCs w:val="24"/>
        </w:rPr>
        <w:t>interviewed is placed in the Appendix.</w:t>
      </w:r>
    </w:p>
    <w:p w14:paraId="640B9FA5" w14:textId="40B8ADCA" w:rsidR="00763113" w:rsidRDefault="00763113" w:rsidP="003344D8">
      <w:pPr>
        <w:rPr>
          <w:sz w:val="24"/>
          <w:szCs w:val="24"/>
        </w:rPr>
      </w:pPr>
      <w:r>
        <w:rPr>
          <w:sz w:val="24"/>
          <w:szCs w:val="24"/>
        </w:rPr>
        <w:t xml:space="preserve">This review confirmed the </w:t>
      </w:r>
      <w:r w:rsidR="00CB3C4A">
        <w:rPr>
          <w:sz w:val="24"/>
          <w:szCs w:val="24"/>
        </w:rPr>
        <w:t>high importance the State places</w:t>
      </w:r>
      <w:r>
        <w:rPr>
          <w:sz w:val="24"/>
          <w:szCs w:val="24"/>
        </w:rPr>
        <w:t xml:space="preserve"> on child</w:t>
      </w:r>
      <w:r w:rsidR="00AD445E">
        <w:rPr>
          <w:sz w:val="24"/>
          <w:szCs w:val="24"/>
        </w:rPr>
        <w:t>ren in the child welfare system</w:t>
      </w:r>
      <w:r w:rsidR="00CB3C4A">
        <w:rPr>
          <w:sz w:val="24"/>
          <w:szCs w:val="24"/>
        </w:rPr>
        <w:t>.  For example, the rate of child maltreatment reporting in Arkansas at 72.9 reports per 1,000 children</w:t>
      </w:r>
      <w:r w:rsidR="004565AE">
        <w:rPr>
          <w:sz w:val="24"/>
          <w:szCs w:val="24"/>
        </w:rPr>
        <w:t>,</w:t>
      </w:r>
      <w:r w:rsidR="00CB3C4A">
        <w:rPr>
          <w:sz w:val="24"/>
          <w:szCs w:val="24"/>
        </w:rPr>
        <w:t xml:space="preserve"> is considerably higher than the average rate of 47.1 nationally (according to the Children’s Bureau publication </w:t>
      </w:r>
      <w:r w:rsidR="00CB3C4A" w:rsidRPr="00610A53">
        <w:rPr>
          <w:i/>
          <w:sz w:val="24"/>
          <w:szCs w:val="24"/>
        </w:rPr>
        <w:t>Child Maltreatment 2013</w:t>
      </w:r>
      <w:r w:rsidR="00CB3C4A">
        <w:rPr>
          <w:sz w:val="24"/>
          <w:szCs w:val="24"/>
        </w:rPr>
        <w:t>).  It is also higher than surrounding states, where rates are:</w:t>
      </w:r>
    </w:p>
    <w:p w14:paraId="6B7288F5" w14:textId="4ECBABAC" w:rsidR="00CB3C4A" w:rsidRPr="00CB3C4A" w:rsidRDefault="00CB3C4A" w:rsidP="00CB3C4A">
      <w:pPr>
        <w:pStyle w:val="NoSpacing"/>
        <w:rPr>
          <w:sz w:val="24"/>
          <w:szCs w:val="24"/>
        </w:rPr>
      </w:pPr>
      <w:r w:rsidRPr="00CB3C4A">
        <w:rPr>
          <w:sz w:val="24"/>
          <w:szCs w:val="24"/>
        </w:rPr>
        <w:t>Texas – 28.2</w:t>
      </w:r>
    </w:p>
    <w:p w14:paraId="2F50EE1D" w14:textId="6872990F" w:rsidR="00CB3C4A" w:rsidRPr="00CB3C4A" w:rsidRDefault="00CB3C4A" w:rsidP="00CB3C4A">
      <w:pPr>
        <w:pStyle w:val="NoSpacing"/>
        <w:rPr>
          <w:sz w:val="24"/>
          <w:szCs w:val="24"/>
        </w:rPr>
      </w:pPr>
      <w:r w:rsidRPr="00CB3C4A">
        <w:rPr>
          <w:sz w:val="24"/>
          <w:szCs w:val="24"/>
        </w:rPr>
        <w:t>Missouri – 56.0</w:t>
      </w:r>
    </w:p>
    <w:p w14:paraId="655E29B3" w14:textId="5BC91E8C" w:rsidR="00CB3C4A" w:rsidRPr="00CB3C4A" w:rsidRDefault="00CB3C4A" w:rsidP="00CB3C4A">
      <w:pPr>
        <w:pStyle w:val="NoSpacing"/>
        <w:rPr>
          <w:sz w:val="24"/>
          <w:szCs w:val="24"/>
        </w:rPr>
      </w:pPr>
      <w:r w:rsidRPr="00CB3C4A">
        <w:rPr>
          <w:sz w:val="24"/>
          <w:szCs w:val="24"/>
        </w:rPr>
        <w:t>Oklahoma – 63.2</w:t>
      </w:r>
    </w:p>
    <w:p w14:paraId="759E7A5C" w14:textId="0269E839" w:rsidR="00CB3C4A" w:rsidRDefault="00CB3C4A" w:rsidP="00CB3C4A">
      <w:pPr>
        <w:pStyle w:val="NoSpacing"/>
        <w:rPr>
          <w:sz w:val="24"/>
          <w:szCs w:val="24"/>
        </w:rPr>
      </w:pPr>
      <w:r w:rsidRPr="00CB3C4A">
        <w:rPr>
          <w:sz w:val="24"/>
          <w:szCs w:val="24"/>
        </w:rPr>
        <w:t>Louisiana – 37.7.</w:t>
      </w:r>
    </w:p>
    <w:p w14:paraId="6B1B30D2" w14:textId="77777777" w:rsidR="00CB3C4A" w:rsidRDefault="00CB3C4A" w:rsidP="00CB3C4A">
      <w:pPr>
        <w:pStyle w:val="NoSpacing"/>
        <w:rPr>
          <w:sz w:val="24"/>
          <w:szCs w:val="24"/>
        </w:rPr>
      </w:pPr>
    </w:p>
    <w:p w14:paraId="0D2CD7DC" w14:textId="54CC65C2" w:rsidR="00CB3C4A" w:rsidRDefault="00CB3C4A" w:rsidP="00CB3C4A">
      <w:pPr>
        <w:pStyle w:val="NoSpacing"/>
        <w:rPr>
          <w:sz w:val="24"/>
          <w:szCs w:val="24"/>
        </w:rPr>
      </w:pPr>
      <w:r>
        <w:rPr>
          <w:sz w:val="24"/>
          <w:szCs w:val="24"/>
        </w:rPr>
        <w:t xml:space="preserve">The Arkansas legislature also takes a strong interest in children served by DCFS.  Bills guiding DCFS operations are often considered by the legislature, such as recent statutes addressing the child fatality review process, visits with siblings </w:t>
      </w:r>
      <w:r w:rsidR="00883EFE">
        <w:rPr>
          <w:sz w:val="24"/>
          <w:szCs w:val="24"/>
        </w:rPr>
        <w:t>by</w:t>
      </w:r>
      <w:r>
        <w:rPr>
          <w:sz w:val="24"/>
          <w:szCs w:val="24"/>
        </w:rPr>
        <w:t xml:space="preserve"> </w:t>
      </w:r>
      <w:r w:rsidR="002F0D8E">
        <w:rPr>
          <w:sz w:val="24"/>
          <w:szCs w:val="24"/>
        </w:rPr>
        <w:t xml:space="preserve">children in foster care and </w:t>
      </w:r>
      <w:r>
        <w:rPr>
          <w:sz w:val="24"/>
          <w:szCs w:val="24"/>
        </w:rPr>
        <w:t xml:space="preserve">judicial review of DCFS child protection planning, for example.  </w:t>
      </w:r>
      <w:r w:rsidRPr="00CB3C4A">
        <w:rPr>
          <w:sz w:val="24"/>
          <w:szCs w:val="24"/>
        </w:rPr>
        <w:t>Arkansas may be</w:t>
      </w:r>
      <w:r w:rsidR="00610A53">
        <w:rPr>
          <w:sz w:val="24"/>
          <w:szCs w:val="24"/>
        </w:rPr>
        <w:t xml:space="preserve"> the only state in the country to create a role for the State Police in receiving all child maltreatment reports.</w:t>
      </w:r>
    </w:p>
    <w:p w14:paraId="46F65527" w14:textId="77777777" w:rsidR="00610A53" w:rsidRDefault="00610A53" w:rsidP="00CB3C4A">
      <w:pPr>
        <w:pStyle w:val="NoSpacing"/>
        <w:rPr>
          <w:sz w:val="24"/>
          <w:szCs w:val="24"/>
        </w:rPr>
      </w:pPr>
    </w:p>
    <w:p w14:paraId="33DE22E3" w14:textId="653D6C8C" w:rsidR="00610A53" w:rsidRDefault="00610A53" w:rsidP="00CB3C4A">
      <w:pPr>
        <w:pStyle w:val="NoSpacing"/>
        <w:rPr>
          <w:sz w:val="24"/>
          <w:szCs w:val="24"/>
        </w:rPr>
      </w:pPr>
      <w:r>
        <w:rPr>
          <w:sz w:val="24"/>
          <w:szCs w:val="24"/>
        </w:rPr>
        <w:t xml:space="preserve">The legislature, the judicial system, advocates and concerned citizens also set </w:t>
      </w:r>
      <w:r w:rsidR="00883EFE">
        <w:rPr>
          <w:sz w:val="24"/>
          <w:szCs w:val="24"/>
        </w:rPr>
        <w:t xml:space="preserve">high performance expectations for DCFS, </w:t>
      </w:r>
      <w:r>
        <w:rPr>
          <w:sz w:val="24"/>
          <w:szCs w:val="24"/>
        </w:rPr>
        <w:t>which now produces a sophisticated array of reports and analyses about its operations.  Those data were a major source of information for this report.</w:t>
      </w:r>
    </w:p>
    <w:p w14:paraId="3658C19E" w14:textId="77777777" w:rsidR="00610A53" w:rsidRDefault="00610A53" w:rsidP="00CB3C4A">
      <w:pPr>
        <w:pStyle w:val="NoSpacing"/>
        <w:rPr>
          <w:sz w:val="24"/>
          <w:szCs w:val="24"/>
        </w:rPr>
      </w:pPr>
    </w:p>
    <w:p w14:paraId="0608A4EA" w14:textId="14AB68AC" w:rsidR="00610A53" w:rsidRDefault="00610A53" w:rsidP="00CB3C4A">
      <w:pPr>
        <w:pStyle w:val="NoSpacing"/>
        <w:rPr>
          <w:b/>
          <w:i/>
          <w:sz w:val="24"/>
          <w:szCs w:val="24"/>
        </w:rPr>
      </w:pPr>
      <w:r w:rsidRPr="004B638D">
        <w:rPr>
          <w:b/>
          <w:i/>
          <w:sz w:val="24"/>
          <w:szCs w:val="24"/>
        </w:rPr>
        <w:t>DCFS Performance and Challenges</w:t>
      </w:r>
    </w:p>
    <w:p w14:paraId="53ECEF65" w14:textId="3E437AAD" w:rsidR="004B638D" w:rsidRDefault="004B638D" w:rsidP="00CB3C4A">
      <w:pPr>
        <w:pStyle w:val="NoSpacing"/>
        <w:rPr>
          <w:b/>
          <w:i/>
          <w:sz w:val="24"/>
          <w:szCs w:val="24"/>
        </w:rPr>
      </w:pPr>
      <w:r>
        <w:rPr>
          <w:b/>
          <w:i/>
          <w:sz w:val="24"/>
          <w:szCs w:val="24"/>
        </w:rPr>
        <w:t xml:space="preserve"> </w:t>
      </w:r>
    </w:p>
    <w:p w14:paraId="4E195E4C" w14:textId="3DC61C5C" w:rsidR="004B638D" w:rsidRPr="004B638D" w:rsidRDefault="004B638D" w:rsidP="00CB3C4A">
      <w:pPr>
        <w:pStyle w:val="NoSpacing"/>
        <w:rPr>
          <w:sz w:val="24"/>
          <w:szCs w:val="24"/>
        </w:rPr>
      </w:pPr>
      <w:r>
        <w:rPr>
          <w:sz w:val="24"/>
          <w:szCs w:val="24"/>
        </w:rPr>
        <w:t>Child Safety:</w:t>
      </w:r>
    </w:p>
    <w:p w14:paraId="6DA42B2D" w14:textId="77777777" w:rsidR="004B638D" w:rsidRDefault="004B638D" w:rsidP="00CB3C4A">
      <w:pPr>
        <w:pStyle w:val="NoSpacing"/>
        <w:rPr>
          <w:b/>
          <w:i/>
          <w:sz w:val="24"/>
          <w:szCs w:val="24"/>
        </w:rPr>
      </w:pPr>
    </w:p>
    <w:p w14:paraId="00132BB0" w14:textId="3ED2EF5F" w:rsidR="004B638D" w:rsidRDefault="004B638D" w:rsidP="00CB3C4A">
      <w:pPr>
        <w:pStyle w:val="NoSpacing"/>
        <w:rPr>
          <w:sz w:val="24"/>
          <w:szCs w:val="24"/>
        </w:rPr>
      </w:pPr>
      <w:r>
        <w:rPr>
          <w:sz w:val="24"/>
          <w:szCs w:val="24"/>
        </w:rPr>
        <w:t xml:space="preserve">The </w:t>
      </w:r>
      <w:r w:rsidR="004565AE">
        <w:rPr>
          <w:sz w:val="24"/>
          <w:szCs w:val="24"/>
        </w:rPr>
        <w:t xml:space="preserve">annual </w:t>
      </w:r>
      <w:r>
        <w:rPr>
          <w:sz w:val="24"/>
          <w:szCs w:val="24"/>
        </w:rPr>
        <w:t>number of child maltreatment reports assigned to DCFS is now fairly stable, at</w:t>
      </w:r>
      <w:r w:rsidR="00B3488F">
        <w:rPr>
          <w:sz w:val="24"/>
          <w:szCs w:val="24"/>
        </w:rPr>
        <w:t xml:space="preserve"> around </w:t>
      </w:r>
      <w:r w:rsidR="008526D7">
        <w:rPr>
          <w:sz w:val="24"/>
          <w:szCs w:val="24"/>
        </w:rPr>
        <w:t>27,800</w:t>
      </w:r>
      <w:r w:rsidR="00B3488F">
        <w:rPr>
          <w:sz w:val="24"/>
          <w:szCs w:val="24"/>
        </w:rPr>
        <w:t xml:space="preserve">.  The rate at which reports were found true (or substantiated) is </w:t>
      </w:r>
      <w:r w:rsidR="008526D7">
        <w:rPr>
          <w:sz w:val="24"/>
          <w:szCs w:val="24"/>
        </w:rPr>
        <w:t>22</w:t>
      </w:r>
      <w:r w:rsidR="00B3488F">
        <w:rPr>
          <w:sz w:val="24"/>
          <w:szCs w:val="24"/>
        </w:rPr>
        <w:t xml:space="preserve">%, </w:t>
      </w:r>
      <w:r w:rsidR="00883EFE">
        <w:rPr>
          <w:sz w:val="24"/>
          <w:szCs w:val="24"/>
        </w:rPr>
        <w:t>near</w:t>
      </w:r>
      <w:r w:rsidR="00B3488F">
        <w:rPr>
          <w:sz w:val="24"/>
          <w:szCs w:val="24"/>
        </w:rPr>
        <w:t xml:space="preserve"> the national average.</w:t>
      </w:r>
    </w:p>
    <w:p w14:paraId="7A7FB6E8" w14:textId="77777777" w:rsidR="004B638D" w:rsidRDefault="004B638D" w:rsidP="00CB3C4A">
      <w:pPr>
        <w:pStyle w:val="NoSpacing"/>
        <w:rPr>
          <w:sz w:val="24"/>
          <w:szCs w:val="24"/>
        </w:rPr>
      </w:pPr>
    </w:p>
    <w:p w14:paraId="43A8E14A" w14:textId="7F2868B3" w:rsidR="004B638D" w:rsidRPr="004B638D" w:rsidRDefault="004B638D" w:rsidP="00CB3C4A">
      <w:pPr>
        <w:pStyle w:val="NoSpacing"/>
        <w:rPr>
          <w:sz w:val="24"/>
          <w:szCs w:val="24"/>
        </w:rPr>
      </w:pPr>
      <w:r w:rsidRPr="004B638D">
        <w:rPr>
          <w:sz w:val="24"/>
          <w:szCs w:val="24"/>
        </w:rPr>
        <w:t xml:space="preserve">DCFS </w:t>
      </w:r>
      <w:r w:rsidR="000A6458">
        <w:rPr>
          <w:sz w:val="24"/>
          <w:szCs w:val="24"/>
        </w:rPr>
        <w:t>p</w:t>
      </w:r>
      <w:r>
        <w:rPr>
          <w:sz w:val="24"/>
          <w:szCs w:val="24"/>
        </w:rPr>
        <w:t>erforms at a relatively high level in initiating child maltreatment investigations timely, although the percentage of timely initiations has dropped somewhat from 94% in 2011 for Priority I investigations to 86% in 2015.  The thoroughness of investigations has improved, from 58% in 2011 to 70% in 2015.  DCFS improved the percentage in which caseworkers had a face-to-face contact with in-home families during the prior three months from 75.8% in 2011 to 82.3 % in 2013.  However</w:t>
      </w:r>
      <w:r w:rsidR="008526D7">
        <w:rPr>
          <w:sz w:val="24"/>
          <w:szCs w:val="24"/>
        </w:rPr>
        <w:t>,</w:t>
      </w:r>
      <w:r>
        <w:rPr>
          <w:sz w:val="24"/>
          <w:szCs w:val="24"/>
        </w:rPr>
        <w:t xml:space="preserve"> monthly visits in in-home cases occurred </w:t>
      </w:r>
      <w:r w:rsidR="008526D7">
        <w:rPr>
          <w:sz w:val="24"/>
          <w:szCs w:val="24"/>
        </w:rPr>
        <w:t xml:space="preserve">only </w:t>
      </w:r>
      <w:r>
        <w:rPr>
          <w:sz w:val="24"/>
          <w:szCs w:val="24"/>
        </w:rPr>
        <w:t>in 66 percent of cases.</w:t>
      </w:r>
    </w:p>
    <w:p w14:paraId="10005E55" w14:textId="77777777" w:rsidR="00610A53" w:rsidRDefault="00610A53" w:rsidP="00CB3C4A">
      <w:pPr>
        <w:pStyle w:val="NoSpacing"/>
        <w:rPr>
          <w:sz w:val="24"/>
          <w:szCs w:val="24"/>
        </w:rPr>
      </w:pPr>
    </w:p>
    <w:p w14:paraId="34B8AF6D" w14:textId="61FFE910" w:rsidR="00610A53" w:rsidRDefault="004565AE" w:rsidP="00CB3C4A">
      <w:pPr>
        <w:pStyle w:val="NoSpacing"/>
        <w:rPr>
          <w:sz w:val="24"/>
          <w:szCs w:val="24"/>
        </w:rPr>
      </w:pPr>
      <w:r>
        <w:rPr>
          <w:sz w:val="24"/>
          <w:szCs w:val="24"/>
        </w:rPr>
        <w:t>T</w:t>
      </w:r>
      <w:r w:rsidR="00B3488F" w:rsidRPr="00B3488F">
        <w:rPr>
          <w:sz w:val="24"/>
          <w:szCs w:val="24"/>
        </w:rPr>
        <w:t>he percentage</w:t>
      </w:r>
      <w:r w:rsidR="00B3488F">
        <w:rPr>
          <w:sz w:val="24"/>
          <w:szCs w:val="24"/>
        </w:rPr>
        <w:t xml:space="preserve"> of children with true allegations with </w:t>
      </w:r>
      <w:r>
        <w:rPr>
          <w:sz w:val="24"/>
          <w:szCs w:val="24"/>
        </w:rPr>
        <w:t xml:space="preserve">a subsequent report in </w:t>
      </w:r>
      <w:r w:rsidR="000A6458">
        <w:rPr>
          <w:sz w:val="24"/>
          <w:szCs w:val="24"/>
        </w:rPr>
        <w:t xml:space="preserve">six </w:t>
      </w:r>
      <w:r>
        <w:rPr>
          <w:sz w:val="24"/>
          <w:szCs w:val="24"/>
        </w:rPr>
        <w:t>months</w:t>
      </w:r>
      <w:r w:rsidR="00B3488F">
        <w:rPr>
          <w:sz w:val="24"/>
          <w:szCs w:val="24"/>
        </w:rPr>
        <w:t xml:space="preserve"> </w:t>
      </w:r>
      <w:r>
        <w:rPr>
          <w:sz w:val="24"/>
          <w:szCs w:val="24"/>
        </w:rPr>
        <w:t>i</w:t>
      </w:r>
      <w:r w:rsidR="00B3488F">
        <w:rPr>
          <w:sz w:val="24"/>
          <w:szCs w:val="24"/>
        </w:rPr>
        <w:t>s 6% currently, slightly higher than the nation</w:t>
      </w:r>
      <w:r>
        <w:rPr>
          <w:sz w:val="24"/>
          <w:szCs w:val="24"/>
        </w:rPr>
        <w:t>al standard of 5.4%</w:t>
      </w:r>
      <w:r w:rsidR="00B3488F">
        <w:rPr>
          <w:sz w:val="24"/>
          <w:szCs w:val="24"/>
        </w:rPr>
        <w:t>.  The percentage has gone down from a high of 9% in 2012.  The percent</w:t>
      </w:r>
      <w:r w:rsidR="000A6458">
        <w:rPr>
          <w:sz w:val="24"/>
          <w:szCs w:val="24"/>
        </w:rPr>
        <w:t>age</w:t>
      </w:r>
      <w:r w:rsidR="00B3488F">
        <w:rPr>
          <w:sz w:val="24"/>
          <w:szCs w:val="24"/>
        </w:rPr>
        <w:t xml:space="preserve"> of children receiving supportive or protective services (in-home) </w:t>
      </w:r>
      <w:r>
        <w:rPr>
          <w:sz w:val="24"/>
          <w:szCs w:val="24"/>
        </w:rPr>
        <w:t xml:space="preserve">who are </w:t>
      </w:r>
      <w:r w:rsidR="00B3488F">
        <w:rPr>
          <w:sz w:val="24"/>
          <w:szCs w:val="24"/>
        </w:rPr>
        <w:t>abuse</w:t>
      </w:r>
      <w:r>
        <w:rPr>
          <w:sz w:val="24"/>
          <w:szCs w:val="24"/>
        </w:rPr>
        <w:t xml:space="preserve">d </w:t>
      </w:r>
      <w:r w:rsidR="00B3488F">
        <w:rPr>
          <w:sz w:val="24"/>
          <w:szCs w:val="24"/>
        </w:rPr>
        <w:t xml:space="preserve">or neglected within one year is at 9%, down from 15% the two preceding years. </w:t>
      </w:r>
    </w:p>
    <w:p w14:paraId="0C339219" w14:textId="77777777" w:rsidR="0020212F" w:rsidRDefault="0020212F" w:rsidP="00CB3C4A">
      <w:pPr>
        <w:pStyle w:val="NoSpacing"/>
        <w:rPr>
          <w:sz w:val="24"/>
          <w:szCs w:val="24"/>
        </w:rPr>
      </w:pPr>
    </w:p>
    <w:p w14:paraId="317880E8" w14:textId="42835C5B" w:rsidR="0020212F" w:rsidRPr="004A436D" w:rsidRDefault="0020212F" w:rsidP="00CB3C4A">
      <w:pPr>
        <w:pStyle w:val="NoSpacing"/>
        <w:rPr>
          <w:sz w:val="24"/>
          <w:szCs w:val="24"/>
        </w:rPr>
      </w:pPr>
      <w:r>
        <w:rPr>
          <w:sz w:val="24"/>
          <w:szCs w:val="24"/>
        </w:rPr>
        <w:t xml:space="preserve">There has been an increase in child fatalities where the family was known to DCFS from 23 fatalities in FY 2011 to 40 (to date) in FY 2015, but no causal effects were evident in this review.  Nationally, only two states, Oklahoma and West Virginia, have a higher rate of </w:t>
      </w:r>
      <w:r w:rsidR="00883EFE">
        <w:rPr>
          <w:sz w:val="24"/>
          <w:szCs w:val="24"/>
        </w:rPr>
        <w:t>total</w:t>
      </w:r>
      <w:r>
        <w:rPr>
          <w:sz w:val="24"/>
          <w:szCs w:val="24"/>
        </w:rPr>
        <w:t xml:space="preserve"> child fatalities than Arkansas</w:t>
      </w:r>
      <w:r w:rsidR="004A436D">
        <w:rPr>
          <w:sz w:val="24"/>
          <w:szCs w:val="24"/>
        </w:rPr>
        <w:t xml:space="preserve">, which </w:t>
      </w:r>
      <w:r w:rsidR="00883EFE">
        <w:rPr>
          <w:sz w:val="24"/>
          <w:szCs w:val="24"/>
        </w:rPr>
        <w:t>is at 4.09 per100,</w:t>
      </w:r>
      <w:r w:rsidR="004A436D">
        <w:rPr>
          <w:sz w:val="24"/>
          <w:szCs w:val="24"/>
        </w:rPr>
        <w:t xml:space="preserve">000 children, according to </w:t>
      </w:r>
      <w:r w:rsidR="004A436D">
        <w:rPr>
          <w:i/>
          <w:sz w:val="24"/>
          <w:szCs w:val="24"/>
        </w:rPr>
        <w:t xml:space="preserve">Child Maltreatment 2013, </w:t>
      </w:r>
      <w:r w:rsidR="004A436D">
        <w:rPr>
          <w:sz w:val="24"/>
          <w:szCs w:val="24"/>
        </w:rPr>
        <w:t>a Children’s Bureau Publication.</w:t>
      </w:r>
    </w:p>
    <w:p w14:paraId="502B710C" w14:textId="77777777" w:rsidR="00763113" w:rsidRDefault="00763113" w:rsidP="003344D8">
      <w:pPr>
        <w:rPr>
          <w:sz w:val="24"/>
          <w:szCs w:val="24"/>
        </w:rPr>
      </w:pPr>
    </w:p>
    <w:p w14:paraId="5B4AFC83" w14:textId="572EAC16" w:rsidR="00B3488F" w:rsidRDefault="00B3488F" w:rsidP="003344D8">
      <w:pPr>
        <w:rPr>
          <w:sz w:val="24"/>
          <w:szCs w:val="24"/>
        </w:rPr>
      </w:pPr>
      <w:r>
        <w:rPr>
          <w:sz w:val="24"/>
          <w:szCs w:val="24"/>
        </w:rPr>
        <w:t>Child Permanency:</w:t>
      </w:r>
    </w:p>
    <w:p w14:paraId="6350F91E" w14:textId="7EDECC98" w:rsidR="004A436D" w:rsidRDefault="00B3488F" w:rsidP="003344D8">
      <w:pPr>
        <w:rPr>
          <w:sz w:val="24"/>
          <w:szCs w:val="24"/>
        </w:rPr>
      </w:pPr>
      <w:r>
        <w:rPr>
          <w:sz w:val="24"/>
          <w:szCs w:val="24"/>
        </w:rPr>
        <w:t xml:space="preserve">Recently, DCFS began experiencing a </w:t>
      </w:r>
      <w:r w:rsidR="00883EFE">
        <w:rPr>
          <w:sz w:val="24"/>
          <w:szCs w:val="24"/>
        </w:rPr>
        <w:t>declining</w:t>
      </w:r>
      <w:r>
        <w:rPr>
          <w:sz w:val="24"/>
          <w:szCs w:val="24"/>
        </w:rPr>
        <w:t xml:space="preserve"> number of children </w:t>
      </w:r>
      <w:r w:rsidR="006E73D3">
        <w:rPr>
          <w:sz w:val="24"/>
          <w:szCs w:val="24"/>
        </w:rPr>
        <w:t xml:space="preserve">exiting foster care.  The number of children entering care has been stable at 3,835 for 2014, meaning the total number of children in foster care is rising.  In the past two months, the total number has risen from 3,875 to 4,323, a </w:t>
      </w:r>
      <w:r w:rsidR="004565AE">
        <w:rPr>
          <w:sz w:val="24"/>
          <w:szCs w:val="24"/>
        </w:rPr>
        <w:t>significant</w:t>
      </w:r>
      <w:r w:rsidR="006E73D3">
        <w:rPr>
          <w:sz w:val="24"/>
          <w:szCs w:val="24"/>
        </w:rPr>
        <w:t xml:space="preserve"> level of growth.  DCFS also has a relatively high number of foster children in non-family settings, at 19%.  Only 12 states have a higher percentage.  An equally concerning</w:t>
      </w:r>
      <w:r w:rsidR="00E43C51">
        <w:rPr>
          <w:sz w:val="24"/>
          <w:szCs w:val="24"/>
        </w:rPr>
        <w:t>, but not new</w:t>
      </w:r>
      <w:r w:rsidR="006E73D3">
        <w:rPr>
          <w:sz w:val="24"/>
          <w:szCs w:val="24"/>
        </w:rPr>
        <w:t xml:space="preserve"> trend is</w:t>
      </w:r>
      <w:r w:rsidR="00FB5B1B">
        <w:rPr>
          <w:sz w:val="24"/>
          <w:szCs w:val="24"/>
        </w:rPr>
        <w:t xml:space="preserve"> what DCFS staff and many stakeholders refer to as the placement crisis.  Currently </w:t>
      </w:r>
      <w:r w:rsidR="00E43C51">
        <w:rPr>
          <w:sz w:val="24"/>
          <w:szCs w:val="24"/>
        </w:rPr>
        <w:t xml:space="preserve">nearly 55% </w:t>
      </w:r>
      <w:r w:rsidR="00FB5B1B">
        <w:rPr>
          <w:sz w:val="24"/>
          <w:szCs w:val="24"/>
        </w:rPr>
        <w:t xml:space="preserve">of children </w:t>
      </w:r>
      <w:r w:rsidR="00E43C51">
        <w:rPr>
          <w:sz w:val="24"/>
          <w:szCs w:val="24"/>
        </w:rPr>
        <w:t xml:space="preserve">are placed in a county outside of their own county.  The underlying reason for this trend is that there are not enough </w:t>
      </w:r>
      <w:r w:rsidR="00883EFE">
        <w:rPr>
          <w:sz w:val="24"/>
          <w:szCs w:val="24"/>
        </w:rPr>
        <w:t>foster and relative</w:t>
      </w:r>
      <w:r w:rsidR="00E43C51">
        <w:rPr>
          <w:sz w:val="24"/>
          <w:szCs w:val="24"/>
        </w:rPr>
        <w:t xml:space="preserve"> homes to meet the demand.  Statewide, there are only 0.66 foster care beds per child.  There has been little or no </w:t>
      </w:r>
      <w:r w:rsidR="00883EFE">
        <w:rPr>
          <w:sz w:val="24"/>
          <w:szCs w:val="24"/>
        </w:rPr>
        <w:t xml:space="preserve">net </w:t>
      </w:r>
      <w:r w:rsidR="00E43C51">
        <w:rPr>
          <w:sz w:val="24"/>
          <w:szCs w:val="24"/>
        </w:rPr>
        <w:t>growth in the number of family foster home beds, despite recruitment efforts.</w:t>
      </w:r>
      <w:r w:rsidR="0020212F">
        <w:rPr>
          <w:sz w:val="24"/>
          <w:szCs w:val="24"/>
        </w:rPr>
        <w:t xml:space="preserve">  </w:t>
      </w:r>
      <w:r w:rsidR="004A436D">
        <w:rPr>
          <w:sz w:val="24"/>
          <w:szCs w:val="24"/>
        </w:rPr>
        <w:t xml:space="preserve"> </w:t>
      </w:r>
    </w:p>
    <w:p w14:paraId="66C60EB2" w14:textId="72692691" w:rsidR="00B3488F" w:rsidRDefault="0020212F" w:rsidP="003344D8">
      <w:pPr>
        <w:rPr>
          <w:sz w:val="24"/>
          <w:szCs w:val="24"/>
        </w:rPr>
      </w:pPr>
      <w:r>
        <w:rPr>
          <w:sz w:val="24"/>
          <w:szCs w:val="24"/>
        </w:rPr>
        <w:t>Arkansas also has a low rate of placements of children with relatives</w:t>
      </w:r>
      <w:r w:rsidR="004A436D">
        <w:rPr>
          <w:sz w:val="24"/>
          <w:szCs w:val="24"/>
        </w:rPr>
        <w:t>, which increases the placement challenge.</w:t>
      </w:r>
      <w:r>
        <w:rPr>
          <w:sz w:val="24"/>
          <w:szCs w:val="24"/>
        </w:rPr>
        <w:t xml:space="preserve">  </w:t>
      </w:r>
      <w:r w:rsidR="004A436D">
        <w:rPr>
          <w:sz w:val="24"/>
          <w:szCs w:val="24"/>
        </w:rPr>
        <w:t>The percentage of relative placements in Arkansas in 14%, which compares with the following in nearby states:</w:t>
      </w:r>
    </w:p>
    <w:p w14:paraId="4AFF19B6" w14:textId="4C100D52" w:rsidR="004A436D" w:rsidRPr="004A436D" w:rsidRDefault="004A436D" w:rsidP="004A436D">
      <w:pPr>
        <w:pStyle w:val="NoSpacing"/>
        <w:rPr>
          <w:sz w:val="24"/>
          <w:szCs w:val="24"/>
        </w:rPr>
      </w:pPr>
      <w:r w:rsidRPr="004A436D">
        <w:rPr>
          <w:sz w:val="24"/>
          <w:szCs w:val="24"/>
        </w:rPr>
        <w:t>Louisiana 21%</w:t>
      </w:r>
    </w:p>
    <w:p w14:paraId="378A3495" w14:textId="3B404324" w:rsidR="004A436D" w:rsidRPr="004A436D" w:rsidRDefault="004A436D" w:rsidP="004A436D">
      <w:pPr>
        <w:pStyle w:val="NoSpacing"/>
        <w:rPr>
          <w:sz w:val="24"/>
          <w:szCs w:val="24"/>
        </w:rPr>
      </w:pPr>
      <w:r w:rsidRPr="004A436D">
        <w:rPr>
          <w:sz w:val="24"/>
          <w:szCs w:val="24"/>
        </w:rPr>
        <w:t>Mississippi 26%</w:t>
      </w:r>
    </w:p>
    <w:p w14:paraId="10B99971" w14:textId="46F96D9B" w:rsidR="004A436D" w:rsidRPr="004A436D" w:rsidRDefault="004A436D" w:rsidP="004A436D">
      <w:pPr>
        <w:pStyle w:val="NoSpacing"/>
        <w:rPr>
          <w:sz w:val="24"/>
          <w:szCs w:val="24"/>
        </w:rPr>
      </w:pPr>
      <w:r w:rsidRPr="004A436D">
        <w:rPr>
          <w:sz w:val="24"/>
          <w:szCs w:val="24"/>
        </w:rPr>
        <w:t>Missouri 21%</w:t>
      </w:r>
    </w:p>
    <w:p w14:paraId="2B5C93AC" w14:textId="414958AA" w:rsidR="004A436D" w:rsidRPr="004A436D" w:rsidRDefault="004A436D" w:rsidP="004A436D">
      <w:pPr>
        <w:pStyle w:val="NoSpacing"/>
        <w:rPr>
          <w:sz w:val="24"/>
          <w:szCs w:val="24"/>
        </w:rPr>
      </w:pPr>
      <w:r w:rsidRPr="004A436D">
        <w:rPr>
          <w:sz w:val="24"/>
          <w:szCs w:val="24"/>
        </w:rPr>
        <w:t>Oklahoma 29%</w:t>
      </w:r>
    </w:p>
    <w:p w14:paraId="14E97C5F" w14:textId="5C55178F" w:rsidR="004A436D" w:rsidRDefault="004A436D" w:rsidP="004A436D">
      <w:pPr>
        <w:pStyle w:val="NoSpacing"/>
        <w:rPr>
          <w:sz w:val="24"/>
          <w:szCs w:val="24"/>
        </w:rPr>
      </w:pPr>
      <w:r w:rsidRPr="004A436D">
        <w:rPr>
          <w:sz w:val="24"/>
          <w:szCs w:val="24"/>
        </w:rPr>
        <w:t>Texas 29%</w:t>
      </w:r>
    </w:p>
    <w:p w14:paraId="10BA3F9B" w14:textId="77777777" w:rsidR="004A436D" w:rsidRPr="004A436D" w:rsidRDefault="004A436D" w:rsidP="004A436D">
      <w:pPr>
        <w:pStyle w:val="NoSpacing"/>
        <w:rPr>
          <w:sz w:val="24"/>
          <w:szCs w:val="24"/>
        </w:rPr>
      </w:pPr>
    </w:p>
    <w:p w14:paraId="6D7522F1" w14:textId="434D6BF8" w:rsidR="0020212F" w:rsidRDefault="00E43C51" w:rsidP="003344D8">
      <w:pPr>
        <w:rPr>
          <w:sz w:val="24"/>
          <w:szCs w:val="24"/>
        </w:rPr>
      </w:pPr>
      <w:r>
        <w:rPr>
          <w:sz w:val="24"/>
          <w:szCs w:val="24"/>
        </w:rPr>
        <w:t xml:space="preserve">The </w:t>
      </w:r>
      <w:r w:rsidR="000A6458">
        <w:rPr>
          <w:sz w:val="24"/>
          <w:szCs w:val="24"/>
        </w:rPr>
        <w:t xml:space="preserve">foster care </w:t>
      </w:r>
      <w:r>
        <w:rPr>
          <w:sz w:val="24"/>
          <w:szCs w:val="24"/>
        </w:rPr>
        <w:t xml:space="preserve">placement shortage has become so severe that in the period January-April 2015, 22 children </w:t>
      </w:r>
      <w:r w:rsidR="000A6458">
        <w:rPr>
          <w:sz w:val="24"/>
          <w:szCs w:val="24"/>
        </w:rPr>
        <w:t xml:space="preserve">in </w:t>
      </w:r>
      <w:r>
        <w:rPr>
          <w:sz w:val="24"/>
          <w:szCs w:val="24"/>
        </w:rPr>
        <w:t xml:space="preserve">foster </w:t>
      </w:r>
      <w:r w:rsidR="000A6458">
        <w:rPr>
          <w:sz w:val="24"/>
          <w:szCs w:val="24"/>
        </w:rPr>
        <w:t>care</w:t>
      </w:r>
      <w:r>
        <w:rPr>
          <w:sz w:val="24"/>
          <w:szCs w:val="24"/>
        </w:rPr>
        <w:t xml:space="preserve"> spent the night in a DCFS office because no placement could be found.  There is also a pattern in some areas where children are placed in different foster homes each night until a more long-term placement can be found.</w:t>
      </w:r>
      <w:r w:rsidR="0020212F">
        <w:rPr>
          <w:sz w:val="24"/>
          <w:szCs w:val="24"/>
        </w:rPr>
        <w:t xml:space="preserve">  Caseworkers spend an inordinate amount of time driving children to distant placements, visiting them and in some cases, taking them to visits with family members.</w:t>
      </w:r>
      <w:r w:rsidR="004A436D">
        <w:rPr>
          <w:sz w:val="24"/>
          <w:szCs w:val="24"/>
        </w:rPr>
        <w:t xml:space="preserve">  </w:t>
      </w:r>
      <w:r>
        <w:rPr>
          <w:sz w:val="24"/>
          <w:szCs w:val="24"/>
        </w:rPr>
        <w:t>At the front-line, average DCFS caseworker caseloads are over 29 cases, nearly double the national recommended standard of 1/15.</w:t>
      </w:r>
      <w:r w:rsidR="004A436D">
        <w:rPr>
          <w:sz w:val="24"/>
          <w:szCs w:val="24"/>
        </w:rPr>
        <w:t xml:space="preserve">  </w:t>
      </w:r>
      <w:r w:rsidR="0020212F">
        <w:rPr>
          <w:sz w:val="24"/>
          <w:szCs w:val="24"/>
        </w:rPr>
        <w:t xml:space="preserve">Despite these challenges, data show that DCFS generally </w:t>
      </w:r>
      <w:r w:rsidR="000A6458">
        <w:rPr>
          <w:sz w:val="24"/>
          <w:szCs w:val="24"/>
        </w:rPr>
        <w:t>performs better than</w:t>
      </w:r>
      <w:r w:rsidR="0020212F">
        <w:rPr>
          <w:sz w:val="24"/>
          <w:szCs w:val="24"/>
        </w:rPr>
        <w:t xml:space="preserve"> national standards relative to the length of time children spend in foster care, reunification within 12 months and rates of re-entry to care.  </w:t>
      </w:r>
    </w:p>
    <w:p w14:paraId="47341014" w14:textId="0C33DE71" w:rsidR="004A436D" w:rsidRDefault="004A436D" w:rsidP="003344D8">
      <w:pPr>
        <w:rPr>
          <w:sz w:val="24"/>
          <w:szCs w:val="24"/>
        </w:rPr>
      </w:pPr>
      <w:r>
        <w:rPr>
          <w:sz w:val="24"/>
          <w:szCs w:val="24"/>
        </w:rPr>
        <w:t xml:space="preserve">The placement shortage is having a major impact on child stability, unfortunately.  Children are now more likely to be in </w:t>
      </w:r>
      <w:r w:rsidR="000A6458">
        <w:rPr>
          <w:sz w:val="24"/>
          <w:szCs w:val="24"/>
        </w:rPr>
        <w:t xml:space="preserve">multiple </w:t>
      </w:r>
      <w:r>
        <w:rPr>
          <w:sz w:val="24"/>
          <w:szCs w:val="24"/>
        </w:rPr>
        <w:t xml:space="preserve">emergency short-term placements and placement disruptions are rising. </w:t>
      </w:r>
    </w:p>
    <w:p w14:paraId="30FB6F66" w14:textId="2535EF9D" w:rsidR="004A436D" w:rsidRDefault="004A436D" w:rsidP="003344D8">
      <w:pPr>
        <w:rPr>
          <w:sz w:val="24"/>
          <w:szCs w:val="24"/>
        </w:rPr>
      </w:pPr>
      <w:r>
        <w:rPr>
          <w:sz w:val="24"/>
          <w:szCs w:val="24"/>
        </w:rPr>
        <w:t>DCFS has been able to decrease the average time to adoption, from 25.4 months in 2011 to 22.1 months in 2014.  In 2014, DCFS experienced finalized adoptions with 724 children, a commendable accomplishment for the Division and its adoption partners.</w:t>
      </w:r>
      <w:r w:rsidR="00A53AD8">
        <w:rPr>
          <w:sz w:val="24"/>
          <w:szCs w:val="24"/>
        </w:rPr>
        <w:t xml:space="preserve">  DCFS expanded its policy on post-adoptive services in 2015, issuing new policy guidance to staff and providing more information about post-adoptive services to pre-adoptive families.</w:t>
      </w:r>
    </w:p>
    <w:p w14:paraId="25F16372" w14:textId="4FA7E327" w:rsidR="00E43C51" w:rsidRDefault="00A53AD8" w:rsidP="003344D8">
      <w:pPr>
        <w:rPr>
          <w:b/>
          <w:i/>
          <w:sz w:val="24"/>
          <w:szCs w:val="24"/>
        </w:rPr>
      </w:pPr>
      <w:r>
        <w:rPr>
          <w:b/>
          <w:i/>
          <w:sz w:val="24"/>
          <w:szCs w:val="24"/>
        </w:rPr>
        <w:t>Organizational Accomplishments and Challenges</w:t>
      </w:r>
    </w:p>
    <w:p w14:paraId="14BCC018" w14:textId="3CF95EF9" w:rsidR="00A53AD8" w:rsidRDefault="00A53AD8" w:rsidP="003344D8">
      <w:pPr>
        <w:rPr>
          <w:sz w:val="24"/>
          <w:szCs w:val="24"/>
        </w:rPr>
      </w:pPr>
      <w:r>
        <w:rPr>
          <w:sz w:val="24"/>
          <w:szCs w:val="24"/>
        </w:rPr>
        <w:t xml:space="preserve">To help address the resource challenges, rising staff caseloads </w:t>
      </w:r>
      <w:r w:rsidR="004565AE">
        <w:rPr>
          <w:sz w:val="24"/>
          <w:szCs w:val="24"/>
        </w:rPr>
        <w:t xml:space="preserve">and </w:t>
      </w:r>
      <w:r>
        <w:rPr>
          <w:sz w:val="24"/>
          <w:szCs w:val="24"/>
        </w:rPr>
        <w:t xml:space="preserve">foster care </w:t>
      </w:r>
      <w:r w:rsidR="004565AE">
        <w:rPr>
          <w:sz w:val="24"/>
          <w:szCs w:val="24"/>
        </w:rPr>
        <w:t>growth</w:t>
      </w:r>
      <w:r>
        <w:rPr>
          <w:sz w:val="24"/>
          <w:szCs w:val="24"/>
        </w:rPr>
        <w:t>, DCFS has implemented a number of major initiatives intended to address some of the problems</w:t>
      </w:r>
      <w:r w:rsidR="004565AE">
        <w:rPr>
          <w:sz w:val="24"/>
          <w:szCs w:val="24"/>
        </w:rPr>
        <w:t xml:space="preserve"> it faces</w:t>
      </w:r>
      <w:r>
        <w:rPr>
          <w:sz w:val="24"/>
          <w:szCs w:val="24"/>
        </w:rPr>
        <w:t xml:space="preserve">.  DCFS was granted a federal waiver to permit use </w:t>
      </w:r>
      <w:r w:rsidR="004565AE">
        <w:rPr>
          <w:sz w:val="24"/>
          <w:szCs w:val="24"/>
        </w:rPr>
        <w:t xml:space="preserve">of </w:t>
      </w:r>
      <w:r>
        <w:rPr>
          <w:sz w:val="24"/>
          <w:szCs w:val="24"/>
        </w:rPr>
        <w:t xml:space="preserve">federal foster care funds more flexibly, won a federal foster and adoptive recruitment and retention grant, implemented new casework assessment tools, created an Advocacy Council to provide external input, provided new training to staff, implemented provisions of new statutes permitting guardianships and fictive kin to become caregivers and implemented </w:t>
      </w:r>
      <w:r w:rsidR="004565AE">
        <w:rPr>
          <w:sz w:val="24"/>
          <w:szCs w:val="24"/>
        </w:rPr>
        <w:t xml:space="preserve">Differential Response, </w:t>
      </w:r>
      <w:r>
        <w:rPr>
          <w:sz w:val="24"/>
          <w:szCs w:val="24"/>
        </w:rPr>
        <w:t>a flexible assessment process for low-risk child protection cases, among many others.</w:t>
      </w:r>
    </w:p>
    <w:p w14:paraId="2D66D107" w14:textId="4F716B90" w:rsidR="00DD7F1C" w:rsidRDefault="00DD7F1C" w:rsidP="003344D8">
      <w:pPr>
        <w:rPr>
          <w:sz w:val="24"/>
          <w:szCs w:val="24"/>
        </w:rPr>
      </w:pPr>
      <w:r>
        <w:rPr>
          <w:sz w:val="24"/>
          <w:szCs w:val="24"/>
        </w:rPr>
        <w:t>DCFS has struggled to fully engage external stakeholders</w:t>
      </w:r>
      <w:r w:rsidR="006C4B20">
        <w:rPr>
          <w:sz w:val="24"/>
          <w:szCs w:val="24"/>
        </w:rPr>
        <w:t xml:space="preserve"> in some areas and in the counties with the greatest workload burdens</w:t>
      </w:r>
      <w:r w:rsidR="005F22A2">
        <w:rPr>
          <w:sz w:val="24"/>
          <w:szCs w:val="24"/>
        </w:rPr>
        <w:t>, has a frustrated and discouraged work force.  This has increased turnover and contribu</w:t>
      </w:r>
      <w:r w:rsidR="004565AE">
        <w:rPr>
          <w:sz w:val="24"/>
          <w:szCs w:val="24"/>
        </w:rPr>
        <w:t>ted to workload stresses.  The S</w:t>
      </w:r>
      <w:r w:rsidR="005F22A2">
        <w:rPr>
          <w:sz w:val="24"/>
          <w:szCs w:val="24"/>
        </w:rPr>
        <w:t>tate</w:t>
      </w:r>
      <w:r w:rsidR="004565AE">
        <w:rPr>
          <w:sz w:val="24"/>
          <w:szCs w:val="24"/>
        </w:rPr>
        <w:t>’</w:t>
      </w:r>
      <w:r w:rsidR="005F22A2">
        <w:rPr>
          <w:sz w:val="24"/>
          <w:szCs w:val="24"/>
        </w:rPr>
        <w:t>s mental health system is also experiencing challenges, especially in developing the ability to provide the type of home and community-based mental health supports needed by children in foster</w:t>
      </w:r>
      <w:r w:rsidR="00883EFE">
        <w:rPr>
          <w:sz w:val="24"/>
          <w:szCs w:val="24"/>
        </w:rPr>
        <w:t xml:space="preserve"> care</w:t>
      </w:r>
      <w:r w:rsidR="005F22A2">
        <w:rPr>
          <w:sz w:val="24"/>
          <w:szCs w:val="24"/>
        </w:rPr>
        <w:t xml:space="preserve"> and some adoptive homes.  </w:t>
      </w:r>
    </w:p>
    <w:p w14:paraId="044523FC" w14:textId="7AE79C76" w:rsidR="005F22A2" w:rsidRDefault="005F22A2" w:rsidP="003344D8">
      <w:pPr>
        <w:rPr>
          <w:b/>
          <w:i/>
          <w:sz w:val="24"/>
          <w:szCs w:val="24"/>
        </w:rPr>
      </w:pPr>
      <w:r>
        <w:rPr>
          <w:b/>
          <w:i/>
          <w:sz w:val="24"/>
          <w:szCs w:val="24"/>
        </w:rPr>
        <w:t>Recommendations</w:t>
      </w:r>
    </w:p>
    <w:p w14:paraId="6B82258E" w14:textId="16A08974" w:rsidR="005F22A2" w:rsidRDefault="005F22A2" w:rsidP="003344D8">
      <w:pPr>
        <w:rPr>
          <w:sz w:val="24"/>
          <w:szCs w:val="24"/>
        </w:rPr>
      </w:pPr>
      <w:r>
        <w:rPr>
          <w:sz w:val="24"/>
          <w:szCs w:val="24"/>
        </w:rPr>
        <w:t>This report contains</w:t>
      </w:r>
      <w:r w:rsidR="00AD7A9E">
        <w:rPr>
          <w:sz w:val="24"/>
          <w:szCs w:val="24"/>
        </w:rPr>
        <w:t xml:space="preserve"> 11</w:t>
      </w:r>
      <w:r>
        <w:rPr>
          <w:sz w:val="24"/>
          <w:szCs w:val="24"/>
        </w:rPr>
        <w:t xml:space="preserve"> recommendations, the first </w:t>
      </w:r>
      <w:r w:rsidR="00AD7A9E">
        <w:rPr>
          <w:sz w:val="24"/>
          <w:szCs w:val="24"/>
        </w:rPr>
        <w:t>8</w:t>
      </w:r>
      <w:r>
        <w:rPr>
          <w:sz w:val="24"/>
          <w:szCs w:val="24"/>
        </w:rPr>
        <w:t xml:space="preserve"> of which could be implemented with little or no </w:t>
      </w:r>
      <w:r w:rsidR="004565AE">
        <w:rPr>
          <w:sz w:val="24"/>
          <w:szCs w:val="24"/>
        </w:rPr>
        <w:t>additional revenue.  T</w:t>
      </w:r>
      <w:r w:rsidR="00E864B1">
        <w:rPr>
          <w:sz w:val="24"/>
          <w:szCs w:val="24"/>
        </w:rPr>
        <w:t>wo</w:t>
      </w:r>
      <w:r>
        <w:rPr>
          <w:sz w:val="24"/>
          <w:szCs w:val="24"/>
        </w:rPr>
        <w:t xml:space="preserve"> of the most critical, however</w:t>
      </w:r>
      <w:r w:rsidR="00E864B1">
        <w:rPr>
          <w:sz w:val="24"/>
          <w:szCs w:val="24"/>
        </w:rPr>
        <w:t>, expanding home and community based mental health services and reducing DCFS caseloads, would require additional funding.  In summary, the recommendations are as follow:</w:t>
      </w:r>
    </w:p>
    <w:p w14:paraId="18D2C958" w14:textId="61CF41E6" w:rsidR="001D21F5" w:rsidRPr="008526D7" w:rsidRDefault="001D21F5" w:rsidP="001D21F5">
      <w:pPr>
        <w:pStyle w:val="ListParagraph"/>
        <w:numPr>
          <w:ilvl w:val="0"/>
          <w:numId w:val="17"/>
        </w:numPr>
        <w:rPr>
          <w:sz w:val="24"/>
          <w:szCs w:val="24"/>
        </w:rPr>
      </w:pPr>
      <w:r w:rsidRPr="008526D7">
        <w:rPr>
          <w:sz w:val="24"/>
          <w:szCs w:val="24"/>
        </w:rPr>
        <w:t xml:space="preserve">Designate a Staff Member in the Governor’s Office to Coordinate </w:t>
      </w:r>
      <w:r w:rsidR="00331AD6" w:rsidRPr="008526D7">
        <w:rPr>
          <w:sz w:val="24"/>
          <w:szCs w:val="24"/>
        </w:rPr>
        <w:t>Intera</w:t>
      </w:r>
      <w:r w:rsidRPr="008526D7">
        <w:rPr>
          <w:sz w:val="24"/>
          <w:szCs w:val="24"/>
        </w:rPr>
        <w:t>gency</w:t>
      </w:r>
      <w:r w:rsidR="00331AD6" w:rsidRPr="008526D7">
        <w:rPr>
          <w:sz w:val="24"/>
          <w:szCs w:val="24"/>
        </w:rPr>
        <w:t xml:space="preserve"> Planning and System Collaboration</w:t>
      </w:r>
      <w:r w:rsidRPr="008526D7">
        <w:rPr>
          <w:sz w:val="24"/>
          <w:szCs w:val="24"/>
        </w:rPr>
        <w:t xml:space="preserve"> for Children, Youth and Family Services</w:t>
      </w:r>
    </w:p>
    <w:p w14:paraId="63078C7D" w14:textId="16F25113" w:rsidR="00E864B1" w:rsidRPr="00A672CF" w:rsidRDefault="00A672CF" w:rsidP="00A672CF">
      <w:pPr>
        <w:pStyle w:val="ListParagraph"/>
        <w:numPr>
          <w:ilvl w:val="0"/>
          <w:numId w:val="12"/>
        </w:numPr>
        <w:rPr>
          <w:sz w:val="24"/>
          <w:szCs w:val="24"/>
        </w:rPr>
      </w:pPr>
      <w:r w:rsidRPr="00A672CF">
        <w:rPr>
          <w:sz w:val="24"/>
          <w:szCs w:val="24"/>
        </w:rPr>
        <w:t>Build DCFS Capacity to Partner with Stakeholders</w:t>
      </w:r>
    </w:p>
    <w:p w14:paraId="16069E44" w14:textId="1A74CEEF" w:rsidR="00A672CF" w:rsidRPr="00A672CF" w:rsidRDefault="00A672CF" w:rsidP="00A672CF">
      <w:pPr>
        <w:pStyle w:val="ListParagraph"/>
        <w:numPr>
          <w:ilvl w:val="0"/>
          <w:numId w:val="12"/>
        </w:numPr>
        <w:rPr>
          <w:sz w:val="24"/>
          <w:szCs w:val="24"/>
        </w:rPr>
      </w:pPr>
      <w:r w:rsidRPr="00A672CF">
        <w:rPr>
          <w:sz w:val="24"/>
          <w:szCs w:val="24"/>
        </w:rPr>
        <w:t>Address the Shortage of Placements</w:t>
      </w:r>
    </w:p>
    <w:p w14:paraId="691D0C7C" w14:textId="6F569A1A" w:rsidR="00A672CF" w:rsidRPr="00A672CF" w:rsidRDefault="00A672CF" w:rsidP="00A672CF">
      <w:pPr>
        <w:pStyle w:val="ListParagraph"/>
        <w:numPr>
          <w:ilvl w:val="0"/>
          <w:numId w:val="12"/>
        </w:numPr>
        <w:rPr>
          <w:sz w:val="24"/>
          <w:szCs w:val="24"/>
        </w:rPr>
      </w:pPr>
      <w:r w:rsidRPr="00A672CF">
        <w:rPr>
          <w:sz w:val="24"/>
          <w:szCs w:val="24"/>
        </w:rPr>
        <w:t>Create a DCFS County-Central Office Task Force to Address Local Administrative Flexibility</w:t>
      </w:r>
    </w:p>
    <w:p w14:paraId="6862D0C1" w14:textId="46343E24" w:rsidR="00A672CF" w:rsidRPr="00A672CF" w:rsidRDefault="00A672CF" w:rsidP="00A672CF">
      <w:pPr>
        <w:pStyle w:val="ListParagraph"/>
        <w:numPr>
          <w:ilvl w:val="0"/>
          <w:numId w:val="12"/>
        </w:numPr>
        <w:rPr>
          <w:sz w:val="24"/>
          <w:szCs w:val="24"/>
        </w:rPr>
      </w:pPr>
      <w:r w:rsidRPr="00A672CF">
        <w:rPr>
          <w:sz w:val="24"/>
          <w:szCs w:val="24"/>
        </w:rPr>
        <w:t>Strengthen the DCFS -  Administrative Office of Courts Relationship</w:t>
      </w:r>
    </w:p>
    <w:p w14:paraId="31EF58F3" w14:textId="1A8B7222" w:rsidR="00A672CF" w:rsidRPr="00A672CF" w:rsidRDefault="0016113F" w:rsidP="00A672CF">
      <w:pPr>
        <w:pStyle w:val="ListParagraph"/>
        <w:numPr>
          <w:ilvl w:val="0"/>
          <w:numId w:val="12"/>
        </w:numPr>
        <w:rPr>
          <w:sz w:val="24"/>
          <w:szCs w:val="24"/>
        </w:rPr>
      </w:pPr>
      <w:r>
        <w:rPr>
          <w:sz w:val="24"/>
          <w:szCs w:val="24"/>
        </w:rPr>
        <w:t xml:space="preserve">Expedite the Process for Filling DCFS Vacancies </w:t>
      </w:r>
    </w:p>
    <w:p w14:paraId="5D40B914" w14:textId="0AE02C28" w:rsidR="00A672CF" w:rsidRPr="00A672CF" w:rsidRDefault="00A672CF" w:rsidP="00A672CF">
      <w:pPr>
        <w:pStyle w:val="ListParagraph"/>
        <w:numPr>
          <w:ilvl w:val="0"/>
          <w:numId w:val="12"/>
        </w:numPr>
        <w:rPr>
          <w:sz w:val="24"/>
          <w:szCs w:val="24"/>
        </w:rPr>
      </w:pPr>
      <w:r w:rsidRPr="00A672CF">
        <w:rPr>
          <w:sz w:val="24"/>
          <w:szCs w:val="24"/>
        </w:rPr>
        <w:t>Develop and Implement a Principle-Based DCFS Model of Practice</w:t>
      </w:r>
    </w:p>
    <w:p w14:paraId="51F04DA9" w14:textId="168B8B59" w:rsidR="00A672CF" w:rsidRPr="00A672CF" w:rsidRDefault="00A672CF" w:rsidP="00A672CF">
      <w:pPr>
        <w:pStyle w:val="ListParagraph"/>
        <w:numPr>
          <w:ilvl w:val="0"/>
          <w:numId w:val="12"/>
        </w:numPr>
        <w:rPr>
          <w:sz w:val="24"/>
          <w:szCs w:val="24"/>
        </w:rPr>
      </w:pPr>
      <w:r w:rsidRPr="00A672CF">
        <w:rPr>
          <w:sz w:val="24"/>
          <w:szCs w:val="24"/>
        </w:rPr>
        <w:t>Strengthen DCFS Assessment and Family Engagement Skills</w:t>
      </w:r>
    </w:p>
    <w:p w14:paraId="550AB340" w14:textId="373D569F" w:rsidR="00A672CF" w:rsidRPr="00A672CF" w:rsidRDefault="00A672CF" w:rsidP="00A672CF">
      <w:pPr>
        <w:pStyle w:val="ListParagraph"/>
        <w:numPr>
          <w:ilvl w:val="0"/>
          <w:numId w:val="12"/>
        </w:numPr>
        <w:rPr>
          <w:sz w:val="24"/>
          <w:szCs w:val="24"/>
        </w:rPr>
      </w:pPr>
      <w:r w:rsidRPr="00A672CF">
        <w:rPr>
          <w:sz w:val="24"/>
          <w:szCs w:val="24"/>
        </w:rPr>
        <w:t>Expand the Availability of Intensive Home and Community-Based Mental Health Services</w:t>
      </w:r>
    </w:p>
    <w:p w14:paraId="4730E7C7" w14:textId="3A38AB37" w:rsidR="00A672CF" w:rsidRPr="00A672CF" w:rsidRDefault="00A672CF" w:rsidP="00A672CF">
      <w:pPr>
        <w:pStyle w:val="ListParagraph"/>
        <w:numPr>
          <w:ilvl w:val="0"/>
          <w:numId w:val="12"/>
        </w:numPr>
        <w:rPr>
          <w:sz w:val="24"/>
          <w:szCs w:val="24"/>
        </w:rPr>
      </w:pPr>
      <w:r w:rsidRPr="00A672CF">
        <w:rPr>
          <w:sz w:val="24"/>
          <w:szCs w:val="24"/>
        </w:rPr>
        <w:t>Develop a Three-Year Plan to Reduce DCFS Caseloads</w:t>
      </w:r>
    </w:p>
    <w:p w14:paraId="2B0D225E" w14:textId="5722C4A6" w:rsidR="00A672CF" w:rsidRDefault="00A672CF" w:rsidP="003344D8">
      <w:pPr>
        <w:rPr>
          <w:sz w:val="24"/>
          <w:szCs w:val="24"/>
        </w:rPr>
      </w:pPr>
      <w:r>
        <w:rPr>
          <w:sz w:val="24"/>
          <w:szCs w:val="24"/>
        </w:rPr>
        <w:t xml:space="preserve">DCFS finds itself at the intersection of a growing foster care population, worker caseloads of nearly twice the national standard, an insufficient number of foster home and relative placements and high expectations for performance among its partners. </w:t>
      </w:r>
      <w:r w:rsidR="002F0D8E">
        <w:rPr>
          <w:sz w:val="24"/>
          <w:szCs w:val="24"/>
        </w:rPr>
        <w:t xml:space="preserve">Despite these challenges, the Division is able to meet or exceed a number of national standards for performance, however many obstacles remain.  </w:t>
      </w:r>
      <w:r>
        <w:rPr>
          <w:sz w:val="24"/>
          <w:szCs w:val="24"/>
        </w:rPr>
        <w:t xml:space="preserve">The Division has embarked on an array of ambitious initiatives in an attempt to manage the challenges it faces, but </w:t>
      </w:r>
      <w:r w:rsidR="002F0D8E">
        <w:rPr>
          <w:sz w:val="24"/>
          <w:szCs w:val="24"/>
        </w:rPr>
        <w:t>at this point appears to be at the limits of its capacity to make significant additional gains.  To progress in improving child and family outcomes, DCFS needs to form strong partnerships with its partners, leading to a shared vision and strategies for serving the State’s children and families.  In addition, it will need additional resources with which to achieve that goal.</w:t>
      </w:r>
    </w:p>
    <w:p w14:paraId="0E337128" w14:textId="77777777" w:rsidR="00A672CF" w:rsidRPr="005F22A2" w:rsidRDefault="00A672CF" w:rsidP="003344D8">
      <w:pPr>
        <w:rPr>
          <w:sz w:val="24"/>
          <w:szCs w:val="24"/>
        </w:rPr>
      </w:pPr>
    </w:p>
    <w:p w14:paraId="282225AC" w14:textId="77777777" w:rsidR="00A53AD8" w:rsidRDefault="00A53AD8" w:rsidP="003344D8">
      <w:pPr>
        <w:rPr>
          <w:b/>
          <w:i/>
          <w:sz w:val="24"/>
          <w:szCs w:val="24"/>
        </w:rPr>
      </w:pPr>
    </w:p>
    <w:p w14:paraId="76C23D76" w14:textId="77777777" w:rsidR="00A53AD8" w:rsidRPr="00A53AD8" w:rsidRDefault="00A53AD8" w:rsidP="003344D8">
      <w:pPr>
        <w:rPr>
          <w:sz w:val="24"/>
          <w:szCs w:val="24"/>
        </w:rPr>
      </w:pPr>
    </w:p>
    <w:p w14:paraId="52123A0A" w14:textId="77777777" w:rsidR="00B163B7" w:rsidRDefault="00B163B7" w:rsidP="003344D8">
      <w:pPr>
        <w:rPr>
          <w:b/>
          <w:sz w:val="28"/>
          <w:szCs w:val="28"/>
        </w:rPr>
      </w:pPr>
    </w:p>
    <w:p w14:paraId="16A70988" w14:textId="12DEE8A4" w:rsidR="00B163B7" w:rsidRPr="00C34A5C" w:rsidRDefault="00B163B7" w:rsidP="00C34A5C">
      <w:pPr>
        <w:pStyle w:val="NoSpacing"/>
        <w:jc w:val="center"/>
        <w:rPr>
          <w:b/>
          <w:sz w:val="28"/>
          <w:szCs w:val="28"/>
        </w:rPr>
      </w:pPr>
      <w:r w:rsidRPr="00C34A5C">
        <w:rPr>
          <w:b/>
          <w:sz w:val="28"/>
          <w:szCs w:val="28"/>
        </w:rPr>
        <w:t>A Review of the Arkansas Division of Children and Families</w:t>
      </w:r>
    </w:p>
    <w:p w14:paraId="1E3FDBC5" w14:textId="6ECB008C" w:rsidR="00B163B7" w:rsidRDefault="00C34A5C" w:rsidP="00C34A5C">
      <w:pPr>
        <w:pStyle w:val="NoSpacing"/>
        <w:jc w:val="center"/>
        <w:rPr>
          <w:b/>
          <w:sz w:val="28"/>
          <w:szCs w:val="28"/>
        </w:rPr>
      </w:pPr>
      <w:r w:rsidRPr="00C34A5C">
        <w:rPr>
          <w:b/>
          <w:sz w:val="28"/>
          <w:szCs w:val="28"/>
        </w:rPr>
        <w:t>Conducted by The Child Welfare Policy and Practice Group</w:t>
      </w:r>
    </w:p>
    <w:p w14:paraId="5A4181A6" w14:textId="2E562F66" w:rsidR="00C34A5C" w:rsidRDefault="005E0DC6" w:rsidP="00C34A5C">
      <w:pPr>
        <w:pStyle w:val="NoSpacing"/>
        <w:jc w:val="center"/>
        <w:rPr>
          <w:b/>
          <w:sz w:val="28"/>
          <w:szCs w:val="28"/>
        </w:rPr>
      </w:pPr>
      <w:r>
        <w:rPr>
          <w:b/>
          <w:sz w:val="28"/>
          <w:szCs w:val="28"/>
        </w:rPr>
        <w:t xml:space="preserve">July 6, </w:t>
      </w:r>
      <w:r w:rsidR="00C34A5C">
        <w:rPr>
          <w:b/>
          <w:sz w:val="28"/>
          <w:szCs w:val="28"/>
        </w:rPr>
        <w:t>2015</w:t>
      </w:r>
    </w:p>
    <w:p w14:paraId="1E17A741" w14:textId="77777777" w:rsidR="00C34A5C" w:rsidRPr="00C34A5C" w:rsidRDefault="00C34A5C" w:rsidP="00C34A5C">
      <w:pPr>
        <w:pStyle w:val="NoSpacing"/>
        <w:jc w:val="center"/>
        <w:rPr>
          <w:b/>
          <w:sz w:val="28"/>
          <w:szCs w:val="28"/>
        </w:rPr>
      </w:pPr>
    </w:p>
    <w:p w14:paraId="5C88CC92" w14:textId="301960C8" w:rsidR="000C3CD0" w:rsidRPr="003344D8" w:rsidRDefault="000C3CD0" w:rsidP="003344D8">
      <w:pPr>
        <w:pStyle w:val="ListParagraph"/>
        <w:numPr>
          <w:ilvl w:val="0"/>
          <w:numId w:val="8"/>
        </w:numPr>
        <w:rPr>
          <w:b/>
          <w:sz w:val="28"/>
          <w:szCs w:val="28"/>
        </w:rPr>
      </w:pPr>
      <w:r w:rsidRPr="003344D8">
        <w:rPr>
          <w:b/>
          <w:sz w:val="28"/>
          <w:szCs w:val="28"/>
        </w:rPr>
        <w:t>Introduction</w:t>
      </w:r>
    </w:p>
    <w:p w14:paraId="071CE27F" w14:textId="06945852" w:rsidR="000C3CD0" w:rsidRPr="000C3CD0" w:rsidRDefault="00382064">
      <w:pPr>
        <w:rPr>
          <w:sz w:val="24"/>
          <w:szCs w:val="24"/>
        </w:rPr>
      </w:pPr>
      <w:r>
        <w:rPr>
          <w:sz w:val="24"/>
          <w:szCs w:val="24"/>
        </w:rPr>
        <w:t xml:space="preserve">In </w:t>
      </w:r>
      <w:r w:rsidR="000A6458">
        <w:rPr>
          <w:sz w:val="24"/>
          <w:szCs w:val="24"/>
        </w:rPr>
        <w:t>March</w:t>
      </w:r>
      <w:r>
        <w:rPr>
          <w:sz w:val="24"/>
          <w:szCs w:val="24"/>
        </w:rPr>
        <w:t xml:space="preserve">, 2015, </w:t>
      </w:r>
      <w:r w:rsidR="000C3CD0">
        <w:rPr>
          <w:sz w:val="24"/>
          <w:szCs w:val="24"/>
        </w:rPr>
        <w:t xml:space="preserve">Governor Hutchinson directed that a broad study </w:t>
      </w:r>
      <w:r>
        <w:rPr>
          <w:sz w:val="24"/>
          <w:szCs w:val="24"/>
        </w:rPr>
        <w:t xml:space="preserve">of the State’s child welfare system </w:t>
      </w:r>
      <w:r w:rsidR="000C3CD0">
        <w:rPr>
          <w:sz w:val="24"/>
          <w:szCs w:val="24"/>
        </w:rPr>
        <w:t>be conducted to identify the strengths and challenges within the system.  Paul Vincent, the Director of The Child Welfare Policy and Practice Group, a non-profit technical assistance organi</w:t>
      </w:r>
      <w:r>
        <w:rPr>
          <w:sz w:val="24"/>
          <w:szCs w:val="24"/>
        </w:rPr>
        <w:t>zation, was asked to conduct this</w:t>
      </w:r>
      <w:r w:rsidR="000C3CD0">
        <w:rPr>
          <w:sz w:val="24"/>
          <w:szCs w:val="24"/>
        </w:rPr>
        <w:t xml:space="preserve"> study.</w:t>
      </w:r>
      <w:r>
        <w:rPr>
          <w:sz w:val="24"/>
          <w:szCs w:val="24"/>
        </w:rPr>
        <w:t xml:space="preserve"> </w:t>
      </w:r>
      <w:r w:rsidR="00D717F7">
        <w:rPr>
          <w:sz w:val="24"/>
          <w:szCs w:val="24"/>
        </w:rPr>
        <w:t xml:space="preserve">Casey Family Programs committed to provide financial support for the evaluation.  </w:t>
      </w:r>
      <w:r>
        <w:rPr>
          <w:sz w:val="24"/>
          <w:szCs w:val="24"/>
        </w:rPr>
        <w:t>The following is a summary report of the results of that study.</w:t>
      </w:r>
    </w:p>
    <w:p w14:paraId="7A29D35D" w14:textId="389B8E71" w:rsidR="000C3CD0" w:rsidRPr="003344D8" w:rsidRDefault="000C3CD0" w:rsidP="003344D8">
      <w:pPr>
        <w:pStyle w:val="ListParagraph"/>
        <w:numPr>
          <w:ilvl w:val="0"/>
          <w:numId w:val="8"/>
        </w:numPr>
        <w:rPr>
          <w:b/>
          <w:sz w:val="28"/>
          <w:szCs w:val="28"/>
        </w:rPr>
      </w:pPr>
      <w:r w:rsidRPr="003344D8">
        <w:rPr>
          <w:b/>
          <w:sz w:val="28"/>
          <w:szCs w:val="28"/>
        </w:rPr>
        <w:t>Methodology</w:t>
      </w:r>
    </w:p>
    <w:p w14:paraId="319E7D97" w14:textId="529EE741" w:rsidR="000C3CD0" w:rsidRDefault="000C3CD0">
      <w:pPr>
        <w:rPr>
          <w:sz w:val="24"/>
          <w:szCs w:val="24"/>
        </w:rPr>
      </w:pPr>
      <w:r w:rsidRPr="000C3CD0">
        <w:rPr>
          <w:sz w:val="24"/>
          <w:szCs w:val="24"/>
        </w:rPr>
        <w:t>The study was conducted</w:t>
      </w:r>
      <w:r>
        <w:rPr>
          <w:sz w:val="24"/>
          <w:szCs w:val="24"/>
        </w:rPr>
        <w:t xml:space="preserve"> between </w:t>
      </w:r>
      <w:r w:rsidR="00D717F7">
        <w:rPr>
          <w:sz w:val="24"/>
          <w:szCs w:val="24"/>
        </w:rPr>
        <w:t xml:space="preserve">April and June 2015 </w:t>
      </w:r>
      <w:r>
        <w:rPr>
          <w:sz w:val="24"/>
          <w:szCs w:val="24"/>
        </w:rPr>
        <w:t>and involved four primary means of evaluation.  These included a review of DCFS policies, procedures, standards and guidelines, review of DCFS data on system performance and outcomes, review of internal special studies conducted by the Division and stakeholder interviews with individuals and groups both within and external to DCFS.  The findings of those data and information collection activities are summarized below.</w:t>
      </w:r>
    </w:p>
    <w:p w14:paraId="2844C56D" w14:textId="17AC5BE8" w:rsidR="00382064" w:rsidRPr="003344D8" w:rsidRDefault="003344D8" w:rsidP="00B163B7">
      <w:pPr>
        <w:pStyle w:val="ListParagraph"/>
        <w:numPr>
          <w:ilvl w:val="0"/>
          <w:numId w:val="8"/>
        </w:numPr>
        <w:rPr>
          <w:b/>
          <w:sz w:val="28"/>
          <w:szCs w:val="28"/>
        </w:rPr>
      </w:pPr>
      <w:r w:rsidRPr="003344D8">
        <w:rPr>
          <w:b/>
          <w:sz w:val="28"/>
          <w:szCs w:val="28"/>
        </w:rPr>
        <w:t xml:space="preserve"> </w:t>
      </w:r>
      <w:r w:rsidR="00382064" w:rsidRPr="003344D8">
        <w:rPr>
          <w:b/>
          <w:sz w:val="28"/>
          <w:szCs w:val="28"/>
        </w:rPr>
        <w:t>A Snapshot of the System</w:t>
      </w:r>
    </w:p>
    <w:p w14:paraId="7156A995" w14:textId="77777777" w:rsidR="00382064" w:rsidRPr="00382064" w:rsidRDefault="00382064">
      <w:pPr>
        <w:rPr>
          <w:sz w:val="24"/>
          <w:szCs w:val="24"/>
        </w:rPr>
      </w:pPr>
      <w:r w:rsidRPr="00382064">
        <w:rPr>
          <w:sz w:val="24"/>
          <w:szCs w:val="24"/>
        </w:rPr>
        <w:t>The following</w:t>
      </w:r>
      <w:r>
        <w:rPr>
          <w:sz w:val="24"/>
          <w:szCs w:val="24"/>
        </w:rPr>
        <w:t xml:space="preserve"> is a summary of key child and family, workload and resource factors that impact system performance and child and family outcomes.</w:t>
      </w:r>
    </w:p>
    <w:tbl>
      <w:tblPr>
        <w:tblW w:w="0" w:type="auto"/>
        <w:tblCellMar>
          <w:left w:w="0" w:type="dxa"/>
          <w:right w:w="0" w:type="dxa"/>
        </w:tblCellMar>
        <w:tblLook w:val="04A0" w:firstRow="1" w:lastRow="0" w:firstColumn="1" w:lastColumn="0" w:noHBand="0" w:noVBand="1"/>
      </w:tblPr>
      <w:tblGrid>
        <w:gridCol w:w="2112"/>
        <w:gridCol w:w="1787"/>
        <w:gridCol w:w="1788"/>
        <w:gridCol w:w="1788"/>
      </w:tblGrid>
      <w:tr w:rsidR="0066123E" w14:paraId="7D94F66D" w14:textId="77777777" w:rsidTr="005C0F1E">
        <w:tc>
          <w:tcPr>
            <w:tcW w:w="21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B4A1CE" w14:textId="2F9B7751" w:rsidR="0066123E" w:rsidRPr="00EA6BE6" w:rsidRDefault="00C34A5C">
            <w:r>
              <w:t>Period</w:t>
            </w:r>
          </w:p>
        </w:tc>
        <w:tc>
          <w:tcPr>
            <w:tcW w:w="17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B02C3C" w14:textId="77777777" w:rsidR="0066123E" w:rsidRPr="00EA6BE6" w:rsidRDefault="0066123E">
            <w:r w:rsidRPr="00EA6BE6">
              <w:t>SFY 2013 – 2</w:t>
            </w:r>
            <w:r w:rsidRPr="00EA6BE6">
              <w:rPr>
                <w:vertAlign w:val="superscript"/>
              </w:rPr>
              <w:t>nd</w:t>
            </w:r>
            <w:r w:rsidRPr="00EA6BE6">
              <w:t xml:space="preserve"> Quarter</w:t>
            </w:r>
          </w:p>
        </w:tc>
        <w:tc>
          <w:tcPr>
            <w:tcW w:w="1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9DCFD1" w14:textId="77777777" w:rsidR="0066123E" w:rsidRPr="00EA6BE6" w:rsidRDefault="0066123E">
            <w:r w:rsidRPr="00EA6BE6">
              <w:t>SFY 2014 – 2</w:t>
            </w:r>
            <w:r w:rsidRPr="00EA6BE6">
              <w:rPr>
                <w:vertAlign w:val="superscript"/>
              </w:rPr>
              <w:t>nd</w:t>
            </w:r>
            <w:r w:rsidRPr="00EA6BE6">
              <w:t xml:space="preserve"> Quarter</w:t>
            </w:r>
          </w:p>
        </w:tc>
        <w:tc>
          <w:tcPr>
            <w:tcW w:w="1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3A4C7B" w14:textId="77777777" w:rsidR="0066123E" w:rsidRPr="00EA6BE6" w:rsidRDefault="0066123E">
            <w:r w:rsidRPr="00EA6BE6">
              <w:t>SFY 2015 – 2</w:t>
            </w:r>
            <w:r w:rsidRPr="00EA6BE6">
              <w:rPr>
                <w:vertAlign w:val="superscript"/>
              </w:rPr>
              <w:t>nd</w:t>
            </w:r>
            <w:r w:rsidRPr="00EA6BE6">
              <w:t xml:space="preserve"> Quarter</w:t>
            </w:r>
          </w:p>
        </w:tc>
      </w:tr>
      <w:tr w:rsidR="0066123E" w14:paraId="40D32D64" w14:textId="77777777" w:rsidTr="005C0F1E">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EBB71" w14:textId="77777777" w:rsidR="0066123E" w:rsidRPr="00EA6BE6" w:rsidRDefault="0066123E" w:rsidP="0066123E">
            <w:r w:rsidRPr="00EA6BE6">
              <w:t>Reports of Maltreatment</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14:paraId="5352228C" w14:textId="14C0F328" w:rsidR="0066123E" w:rsidRPr="00EA6BE6" w:rsidRDefault="0066123E" w:rsidP="0066123E">
            <w:r w:rsidRPr="00EA6BE6">
              <w:t>9,166</w:t>
            </w:r>
          </w:p>
          <w:p w14:paraId="1104452E" w14:textId="77777777" w:rsidR="0066123E" w:rsidRPr="00EA6BE6" w:rsidRDefault="0066123E" w:rsidP="0066123E">
            <w:r w:rsidRPr="00EA6BE6">
              <w:t>DCFS 7,670</w:t>
            </w:r>
          </w:p>
          <w:p w14:paraId="6BDEB3E6" w14:textId="77777777" w:rsidR="0066123E" w:rsidRPr="00EA6BE6" w:rsidRDefault="0066123E" w:rsidP="0066123E">
            <w:r w:rsidRPr="00EA6BE6">
              <w:t>CACD 1,496</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2EB4FA01" w14:textId="15DE85D5" w:rsidR="0066123E" w:rsidRPr="00EA6BE6" w:rsidRDefault="0066123E" w:rsidP="0066123E">
            <w:r w:rsidRPr="00EA6BE6">
              <w:t>7,697</w:t>
            </w:r>
          </w:p>
          <w:p w14:paraId="6FE7B667" w14:textId="77777777" w:rsidR="0066123E" w:rsidRPr="00EA6BE6" w:rsidRDefault="0066123E" w:rsidP="0066123E">
            <w:r w:rsidRPr="00EA6BE6">
              <w:t>DCFS 6,518</w:t>
            </w:r>
          </w:p>
          <w:p w14:paraId="274D768B" w14:textId="77777777" w:rsidR="0066123E" w:rsidRPr="00EA6BE6" w:rsidRDefault="0066123E" w:rsidP="0066123E">
            <w:r w:rsidRPr="00EA6BE6">
              <w:t>CACD 1,179</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0B339B43" w14:textId="7A3D1F16" w:rsidR="0066123E" w:rsidRPr="00EA6BE6" w:rsidRDefault="0066123E" w:rsidP="0066123E">
            <w:r w:rsidRPr="00EA6BE6">
              <w:t>8,177</w:t>
            </w:r>
          </w:p>
          <w:p w14:paraId="55D82325" w14:textId="77777777" w:rsidR="0066123E" w:rsidRPr="00EA6BE6" w:rsidRDefault="0066123E" w:rsidP="0066123E">
            <w:r w:rsidRPr="00EA6BE6">
              <w:t>DCFS 6,757</w:t>
            </w:r>
          </w:p>
          <w:p w14:paraId="5FC9190F" w14:textId="493CF08A" w:rsidR="0066123E" w:rsidRPr="00EA6BE6" w:rsidRDefault="0066123E" w:rsidP="0066123E">
            <w:r w:rsidRPr="00EA6BE6">
              <w:t>CACD 1,420</w:t>
            </w:r>
            <w:r w:rsidR="00C34A5C">
              <w:t>.</w:t>
            </w:r>
          </w:p>
        </w:tc>
      </w:tr>
      <w:tr w:rsidR="0066123E" w14:paraId="480A1A37" w14:textId="77777777" w:rsidTr="005C0F1E">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1201C" w14:textId="77777777" w:rsidR="0066123E" w:rsidRPr="00EA6BE6" w:rsidRDefault="0066123E" w:rsidP="0066123E">
            <w:r w:rsidRPr="00EA6BE6">
              <w:t>Number of Children Out-of-Home</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14:paraId="74B99049" w14:textId="77777777" w:rsidR="0066123E" w:rsidRPr="00EA6BE6" w:rsidRDefault="0066123E" w:rsidP="0066123E">
            <w:r w:rsidRPr="00EA6BE6">
              <w:t>3,862</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0DE1309E" w14:textId="77777777" w:rsidR="0066123E" w:rsidRPr="00EA6BE6" w:rsidRDefault="0066123E" w:rsidP="0066123E">
            <w:r w:rsidRPr="00EA6BE6">
              <w:t>3,855</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1312D23A" w14:textId="77777777" w:rsidR="0066123E" w:rsidRPr="00EA6BE6" w:rsidRDefault="0066123E" w:rsidP="0066123E">
            <w:r w:rsidRPr="00EA6BE6">
              <w:t>3,875</w:t>
            </w:r>
          </w:p>
          <w:p w14:paraId="5417B0B8" w14:textId="77777777" w:rsidR="00EA6BE6" w:rsidRPr="00EA6BE6" w:rsidRDefault="00EA6BE6" w:rsidP="00EA6BE6">
            <w:pPr>
              <w:pStyle w:val="NoSpacing"/>
            </w:pPr>
            <w:r w:rsidRPr="00EA6BE6">
              <w:t>By May 14, 2015</w:t>
            </w:r>
          </w:p>
          <w:p w14:paraId="2BE35EC8" w14:textId="77777777" w:rsidR="00EA6BE6" w:rsidRPr="00EA6BE6" w:rsidRDefault="00EA6BE6" w:rsidP="00EA6BE6">
            <w:pPr>
              <w:pStyle w:val="NoSpacing"/>
            </w:pPr>
            <w:r>
              <w:t>t</w:t>
            </w:r>
            <w:r w:rsidRPr="00EA6BE6">
              <w:t>otal was 4</w:t>
            </w:r>
            <w:r w:rsidR="00DB1B2C">
              <w:t>,</w:t>
            </w:r>
            <w:r w:rsidRPr="00EA6BE6">
              <w:t>323</w:t>
            </w:r>
          </w:p>
          <w:p w14:paraId="4CB7F3A0" w14:textId="77777777" w:rsidR="00EA6BE6" w:rsidRPr="00EA6BE6" w:rsidRDefault="00EA6BE6" w:rsidP="00EA6BE6">
            <w:pPr>
              <w:pStyle w:val="NoSpacing"/>
            </w:pPr>
            <w:r w:rsidRPr="00EA6BE6">
              <w:t>children</w:t>
            </w:r>
          </w:p>
        </w:tc>
      </w:tr>
      <w:tr w:rsidR="0066123E" w14:paraId="316D725A" w14:textId="77777777" w:rsidTr="005C0F1E">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C88B2" w14:textId="09BDE8B9" w:rsidR="0066123E" w:rsidRPr="00EA6BE6" w:rsidRDefault="0066123E" w:rsidP="00E85270">
            <w:r w:rsidRPr="00EA6BE6">
              <w:t>In</w:t>
            </w:r>
            <w:r w:rsidR="00E85270">
              <w:t>-</w:t>
            </w:r>
            <w:r w:rsidRPr="00EA6BE6">
              <w:t>Home PS Cases (Includes In-Home and Supportive Services cases)</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14:paraId="7E34F0E6" w14:textId="77777777" w:rsidR="0066123E" w:rsidRPr="00EA6BE6" w:rsidRDefault="0066123E" w:rsidP="0066123E">
            <w:r w:rsidRPr="00EA6BE6">
              <w:t>3,036 cases involving 6,983 children</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500A9865" w14:textId="77777777" w:rsidR="0066123E" w:rsidRPr="00EA6BE6" w:rsidRDefault="0066123E" w:rsidP="0066123E">
            <w:r w:rsidRPr="00EA6BE6">
              <w:t>2,787 cases involving 6,360 children</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418549CF" w14:textId="77777777" w:rsidR="0066123E" w:rsidRPr="00EA6BE6" w:rsidRDefault="0066123E" w:rsidP="0066123E">
            <w:r w:rsidRPr="00EA6BE6">
              <w:t>3,875 cases involving 5,921 children</w:t>
            </w:r>
          </w:p>
        </w:tc>
      </w:tr>
      <w:tr w:rsidR="0066123E" w14:paraId="0230D566" w14:textId="77777777" w:rsidTr="005C0F1E">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8AC9A" w14:textId="77777777" w:rsidR="0066123E" w:rsidRPr="00EA6BE6" w:rsidRDefault="0066123E" w:rsidP="0066123E">
            <w:r w:rsidRPr="00EA6BE6">
              <w:t>Children Free for Adoption</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14:paraId="03927BD9" w14:textId="77777777" w:rsidR="0066123E" w:rsidRPr="00EA6BE6" w:rsidRDefault="0066123E" w:rsidP="0066123E">
            <w:r w:rsidRPr="00EA6BE6">
              <w:t>398</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25A5D687" w14:textId="77777777" w:rsidR="0066123E" w:rsidRPr="00EA6BE6" w:rsidRDefault="0066123E" w:rsidP="0066123E">
            <w:r w:rsidRPr="00EA6BE6">
              <w:t>511</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6623B057" w14:textId="77777777" w:rsidR="0066123E" w:rsidRPr="00EA6BE6" w:rsidRDefault="0066123E" w:rsidP="0066123E">
            <w:r w:rsidRPr="00EA6BE6">
              <w:t>572</w:t>
            </w:r>
          </w:p>
        </w:tc>
      </w:tr>
      <w:tr w:rsidR="0066123E" w14:paraId="353E00A5" w14:textId="77777777" w:rsidTr="005C0F1E">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774ABA" w14:textId="6C47B70E" w:rsidR="0066123E" w:rsidRPr="00EA6BE6" w:rsidRDefault="008526D7" w:rsidP="0066123E">
            <w:r>
              <w:t>Total Family Foster Homes</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14:paraId="497A7C8A" w14:textId="77777777" w:rsidR="0066123E" w:rsidRPr="00EA6BE6" w:rsidRDefault="0066123E" w:rsidP="0066123E">
            <w:r w:rsidRPr="00EA6BE6">
              <w:t>1,127</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7B08A919" w14:textId="77777777" w:rsidR="0066123E" w:rsidRPr="00EA6BE6" w:rsidRDefault="0066123E" w:rsidP="0066123E">
            <w:r w:rsidRPr="00EA6BE6">
              <w:t>1,248</w:t>
            </w: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14:paraId="164C24A9" w14:textId="77777777" w:rsidR="0066123E" w:rsidRPr="00EA6BE6" w:rsidRDefault="0066123E" w:rsidP="0066123E">
            <w:r w:rsidRPr="00EA6BE6">
              <w:t>1,190</w:t>
            </w:r>
          </w:p>
          <w:p w14:paraId="0227358D" w14:textId="77777777" w:rsidR="0066123E" w:rsidRPr="00EA6BE6" w:rsidRDefault="0066123E" w:rsidP="0066123E"/>
        </w:tc>
      </w:tr>
      <w:tr w:rsidR="0066123E" w14:paraId="6EB43D42" w14:textId="77777777" w:rsidTr="005C0F1E">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AB8A0B" w14:textId="77777777" w:rsidR="0066123E" w:rsidRPr="00EA6BE6" w:rsidRDefault="001F61FE" w:rsidP="0066123E">
            <w:r w:rsidRPr="00EA6BE6">
              <w:t>Number of Children in</w:t>
            </w:r>
            <w:r w:rsidR="0066123E" w:rsidRPr="00EA6BE6">
              <w:t xml:space="preserve"> Emergency Shelter</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14:paraId="1DDB9925" w14:textId="77777777" w:rsidR="0066123E" w:rsidRPr="00EA6BE6" w:rsidRDefault="0066123E" w:rsidP="0066123E">
            <w:r w:rsidRPr="00EA6BE6">
              <w:t>157</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0C8EEF6B" w14:textId="77777777" w:rsidR="0066123E" w:rsidRPr="00EA6BE6" w:rsidRDefault="0066123E" w:rsidP="0066123E">
            <w:r w:rsidRPr="00EA6BE6">
              <w:t>154</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6283A094" w14:textId="77777777" w:rsidR="0066123E" w:rsidRPr="00EA6BE6" w:rsidRDefault="0066123E" w:rsidP="0066123E">
            <w:r w:rsidRPr="00EA6BE6">
              <w:t>155</w:t>
            </w:r>
          </w:p>
        </w:tc>
      </w:tr>
      <w:tr w:rsidR="0066123E" w14:paraId="2C524BAB" w14:textId="77777777" w:rsidTr="005C0F1E">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EF19C" w14:textId="77777777" w:rsidR="0066123E" w:rsidRPr="00EA6BE6" w:rsidRDefault="0066123E" w:rsidP="0066123E">
            <w:r w:rsidRPr="00EA6BE6">
              <w:t xml:space="preserve">Number of Children in Residential </w:t>
            </w:r>
            <w:r w:rsidR="00EA6BE6" w:rsidRPr="00EA6BE6">
              <w:t>Group Care</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14:paraId="53A79F0C" w14:textId="77777777" w:rsidR="0066123E" w:rsidRPr="00EA6BE6" w:rsidRDefault="0066123E" w:rsidP="0066123E">
            <w:r w:rsidRPr="00EA6BE6">
              <w:t>452</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608D8419" w14:textId="77777777" w:rsidR="0066123E" w:rsidRPr="00EA6BE6" w:rsidRDefault="0066123E" w:rsidP="0066123E">
            <w:r w:rsidRPr="00EA6BE6">
              <w:t>424</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30118CC6" w14:textId="77777777" w:rsidR="0066123E" w:rsidRPr="00EA6BE6" w:rsidRDefault="0066123E" w:rsidP="0066123E">
            <w:r w:rsidRPr="00EA6BE6">
              <w:t>465</w:t>
            </w:r>
          </w:p>
        </w:tc>
      </w:tr>
      <w:tr w:rsidR="0066123E" w14:paraId="4D08DEC4" w14:textId="77777777" w:rsidTr="005C0F1E">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2D9A63" w14:textId="77777777" w:rsidR="0066123E" w:rsidRPr="00EA6BE6" w:rsidRDefault="0066123E" w:rsidP="0066123E">
            <w:r w:rsidRPr="00EA6BE6">
              <w:t>Number of Children in Therapeutic Foster Care</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14:paraId="2C88BBCE" w14:textId="77777777" w:rsidR="0066123E" w:rsidRPr="00EA6BE6" w:rsidRDefault="0066123E" w:rsidP="0066123E">
            <w:r w:rsidRPr="00EA6BE6">
              <w:t>298</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1499A0C9" w14:textId="77777777" w:rsidR="0066123E" w:rsidRPr="00EA6BE6" w:rsidRDefault="0066123E" w:rsidP="0066123E">
            <w:r w:rsidRPr="00EA6BE6">
              <w:t>308</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64B9F56A" w14:textId="77777777" w:rsidR="0066123E" w:rsidRPr="00EA6BE6" w:rsidRDefault="0066123E" w:rsidP="0066123E">
            <w:r w:rsidRPr="00EA6BE6">
              <w:t>310</w:t>
            </w:r>
          </w:p>
        </w:tc>
      </w:tr>
      <w:tr w:rsidR="0066123E" w14:paraId="5DE484A4" w14:textId="77777777" w:rsidTr="005C0F1E">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56D753" w14:textId="027748DE" w:rsidR="0066123E" w:rsidRPr="00EA6BE6" w:rsidRDefault="0066123E" w:rsidP="0066123E">
            <w:r w:rsidRPr="00EA6BE6">
              <w:t>Number of Children Placed Out</w:t>
            </w:r>
            <w:r w:rsidR="000A6458">
              <w:t>-</w:t>
            </w:r>
            <w:r w:rsidRPr="00EA6BE6">
              <w:t xml:space="preserve"> of </w:t>
            </w:r>
            <w:r w:rsidR="000A6458">
              <w:t>-</w:t>
            </w:r>
            <w:r w:rsidRPr="00EA6BE6">
              <w:t>County</w:t>
            </w:r>
          </w:p>
          <w:p w14:paraId="668F67FD" w14:textId="77777777" w:rsidR="0066123E" w:rsidRPr="00EA6BE6" w:rsidRDefault="00EA6BE6" w:rsidP="0066123E">
            <w:r w:rsidRPr="00EA6BE6">
              <w:t>Number of Children Placed Outside of Home County and Neighboring County</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14:paraId="269530C6" w14:textId="77777777" w:rsidR="0066123E" w:rsidRPr="00EA6BE6" w:rsidRDefault="0066123E" w:rsidP="0066123E">
            <w:r w:rsidRPr="00EA6BE6">
              <w:t>1,989</w:t>
            </w:r>
          </w:p>
          <w:p w14:paraId="447CE9EE" w14:textId="77777777" w:rsidR="00EA6BE6" w:rsidRPr="00EA6BE6" w:rsidRDefault="00EA6BE6" w:rsidP="0066123E"/>
          <w:p w14:paraId="07272CAD" w14:textId="77777777" w:rsidR="00EA6BE6" w:rsidRPr="00EA6BE6" w:rsidRDefault="00EA6BE6" w:rsidP="0066123E">
            <w:r w:rsidRPr="00EA6BE6">
              <w:t>1,274</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04E99AD4" w14:textId="77777777" w:rsidR="0066123E" w:rsidRPr="00EA6BE6" w:rsidRDefault="0066123E" w:rsidP="0066123E">
            <w:r w:rsidRPr="00EA6BE6">
              <w:t>2,037</w:t>
            </w:r>
          </w:p>
          <w:p w14:paraId="10E5706A" w14:textId="77777777" w:rsidR="00EA6BE6" w:rsidRPr="00EA6BE6" w:rsidRDefault="00EA6BE6" w:rsidP="0066123E"/>
          <w:p w14:paraId="4D164B3A" w14:textId="77777777" w:rsidR="00EA6BE6" w:rsidRPr="00EA6BE6" w:rsidRDefault="00EA6BE6" w:rsidP="0066123E">
            <w:r w:rsidRPr="00EA6BE6">
              <w:t>1,298</w:t>
            </w:r>
          </w:p>
          <w:p w14:paraId="6B50DD2A" w14:textId="77777777" w:rsidR="00EA6BE6" w:rsidRPr="00EA6BE6" w:rsidRDefault="00EA6BE6" w:rsidP="0066123E"/>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18418015" w14:textId="77777777" w:rsidR="0066123E" w:rsidRPr="00EA6BE6" w:rsidRDefault="0066123E" w:rsidP="0066123E">
            <w:r w:rsidRPr="00EA6BE6">
              <w:t>2,100</w:t>
            </w:r>
          </w:p>
          <w:p w14:paraId="23DB67CB" w14:textId="77777777" w:rsidR="00EA6BE6" w:rsidRPr="00EA6BE6" w:rsidRDefault="00EA6BE6" w:rsidP="0066123E"/>
          <w:p w14:paraId="33299922" w14:textId="77777777" w:rsidR="00EA6BE6" w:rsidRPr="00EA6BE6" w:rsidRDefault="00EA6BE6" w:rsidP="0066123E">
            <w:r w:rsidRPr="00EA6BE6">
              <w:t>1,387</w:t>
            </w:r>
          </w:p>
        </w:tc>
      </w:tr>
      <w:tr w:rsidR="0066123E" w14:paraId="53F3F65D" w14:textId="77777777" w:rsidTr="005C0F1E">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178DF" w14:textId="77777777" w:rsidR="0066123E" w:rsidRPr="00EA6BE6" w:rsidRDefault="0066123E" w:rsidP="0066123E">
            <w:r w:rsidRPr="00EA6BE6">
              <w:t>Average Worker Caseload</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14:paraId="7346CF10" w14:textId="77777777" w:rsidR="0066123E" w:rsidRPr="00EA6BE6" w:rsidRDefault="0066123E" w:rsidP="0066123E">
            <w:r w:rsidRPr="00EA6BE6">
              <w:t>29.8</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7E8280A9" w14:textId="77777777" w:rsidR="0066123E" w:rsidRPr="00EA6BE6" w:rsidRDefault="0066123E" w:rsidP="0066123E">
            <w:r w:rsidRPr="00EA6BE6">
              <w:t>27.2</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6F8ECA4E" w14:textId="2C9496D0" w:rsidR="0066123E" w:rsidRPr="00EA6BE6" w:rsidRDefault="00EE1DCA" w:rsidP="0066123E">
            <w:r>
              <w:t>28.96</w:t>
            </w:r>
          </w:p>
        </w:tc>
      </w:tr>
    </w:tbl>
    <w:p w14:paraId="34AA38BC" w14:textId="77777777" w:rsidR="00382064" w:rsidRDefault="00382064">
      <w:pPr>
        <w:rPr>
          <w:b/>
          <w:sz w:val="28"/>
          <w:szCs w:val="28"/>
        </w:rPr>
      </w:pPr>
    </w:p>
    <w:p w14:paraId="132C8BB7" w14:textId="3A7F2424" w:rsidR="00692312" w:rsidRDefault="00692312">
      <w:pPr>
        <w:rPr>
          <w:sz w:val="24"/>
          <w:szCs w:val="24"/>
        </w:rPr>
      </w:pPr>
      <w:r w:rsidRPr="00DB23F6">
        <w:rPr>
          <w:sz w:val="24"/>
          <w:szCs w:val="24"/>
        </w:rPr>
        <w:t>Some of the trends reflected above, such as reports of maltreatment and children in certain settings are stable.  However other critical indicators are rising, which has major implications for child and family outcomes and the ability of DCFS to meet its mandates</w:t>
      </w:r>
      <w:r w:rsidR="00E85270">
        <w:rPr>
          <w:sz w:val="24"/>
          <w:szCs w:val="24"/>
        </w:rPr>
        <w:t>.  Most troubling are high case</w:t>
      </w:r>
      <w:r w:rsidRPr="00DB23F6">
        <w:rPr>
          <w:sz w:val="24"/>
          <w:szCs w:val="24"/>
        </w:rPr>
        <w:t xml:space="preserve">worker caseloads, the number of children placed outside of their own counties, increasing numbers of children placed in out-of-home care and </w:t>
      </w:r>
      <w:r w:rsidR="00DB23F6" w:rsidRPr="00DB23F6">
        <w:rPr>
          <w:sz w:val="24"/>
          <w:szCs w:val="24"/>
        </w:rPr>
        <w:t>an insufficient number of family</w:t>
      </w:r>
      <w:r w:rsidR="00E85270">
        <w:rPr>
          <w:sz w:val="24"/>
          <w:szCs w:val="24"/>
        </w:rPr>
        <w:t>-</w:t>
      </w:r>
      <w:r w:rsidR="00DB23F6" w:rsidRPr="00DB23F6">
        <w:rPr>
          <w:sz w:val="24"/>
          <w:szCs w:val="24"/>
        </w:rPr>
        <w:t>based placements</w:t>
      </w:r>
      <w:r w:rsidR="00804CD1">
        <w:rPr>
          <w:sz w:val="24"/>
          <w:szCs w:val="24"/>
        </w:rPr>
        <w:t>.</w:t>
      </w:r>
    </w:p>
    <w:p w14:paraId="683DE774" w14:textId="77777777" w:rsidR="00883EFE" w:rsidRDefault="00883EFE">
      <w:pPr>
        <w:rPr>
          <w:sz w:val="24"/>
          <w:szCs w:val="24"/>
        </w:rPr>
      </w:pPr>
    </w:p>
    <w:p w14:paraId="29E53A8A" w14:textId="77777777" w:rsidR="00883EFE" w:rsidRDefault="00883EFE">
      <w:pPr>
        <w:rPr>
          <w:sz w:val="24"/>
          <w:szCs w:val="24"/>
        </w:rPr>
      </w:pPr>
    </w:p>
    <w:p w14:paraId="7681854A" w14:textId="77777777" w:rsidR="0033563A" w:rsidRDefault="0033563A">
      <w:pPr>
        <w:rPr>
          <w:sz w:val="24"/>
          <w:szCs w:val="24"/>
        </w:rPr>
      </w:pPr>
    </w:p>
    <w:p w14:paraId="014F457D" w14:textId="34A14277" w:rsidR="00417A2F" w:rsidRPr="003344D8" w:rsidRDefault="00417A2F" w:rsidP="003344D8">
      <w:pPr>
        <w:pStyle w:val="ListParagraph"/>
        <w:numPr>
          <w:ilvl w:val="0"/>
          <w:numId w:val="8"/>
        </w:numPr>
        <w:rPr>
          <w:b/>
          <w:sz w:val="28"/>
          <w:szCs w:val="28"/>
        </w:rPr>
      </w:pPr>
      <w:r w:rsidRPr="003344D8">
        <w:rPr>
          <w:b/>
          <w:sz w:val="28"/>
          <w:szCs w:val="28"/>
        </w:rPr>
        <w:t>DCFS and System Strengths</w:t>
      </w:r>
    </w:p>
    <w:p w14:paraId="69A9C340" w14:textId="77777777" w:rsidR="00804CD1" w:rsidRDefault="00DB23F6" w:rsidP="00C34A5C">
      <w:pPr>
        <w:rPr>
          <w:sz w:val="24"/>
          <w:szCs w:val="24"/>
        </w:rPr>
      </w:pPr>
      <w:r>
        <w:rPr>
          <w:sz w:val="24"/>
          <w:szCs w:val="24"/>
        </w:rPr>
        <w:t xml:space="preserve">In the face growing demands, </w:t>
      </w:r>
      <w:r w:rsidR="00417A2F" w:rsidRPr="005E5029">
        <w:rPr>
          <w:sz w:val="24"/>
          <w:szCs w:val="24"/>
        </w:rPr>
        <w:t>DCFS has undertaken an ambitious agenda in seeking system improvements over the past several years, implementing a number of initiatives that are considered to be promising and best practices nationally.  One of the most significant is securing federal approval for a IV-E Waiver Demonstration Project, which permits child welfare systems to util</w:t>
      </w:r>
      <w:r w:rsidR="00804CD1">
        <w:rPr>
          <w:sz w:val="24"/>
          <w:szCs w:val="24"/>
        </w:rPr>
        <w:t>ize federal foster care funds for</w:t>
      </w:r>
      <w:r w:rsidR="00417A2F" w:rsidRPr="005E5029">
        <w:rPr>
          <w:sz w:val="24"/>
          <w:szCs w:val="24"/>
        </w:rPr>
        <w:t xml:space="preserve"> </w:t>
      </w:r>
      <w:r w:rsidR="00804CD1">
        <w:rPr>
          <w:sz w:val="24"/>
          <w:szCs w:val="24"/>
        </w:rPr>
        <w:t>families whose children remain at home.  States operating with a Waiver have their Title IV</w:t>
      </w:r>
      <w:r w:rsidR="00D952B9" w:rsidRPr="005E5029">
        <w:rPr>
          <w:sz w:val="24"/>
          <w:szCs w:val="24"/>
        </w:rPr>
        <w:t>-E funding</w:t>
      </w:r>
      <w:r w:rsidR="00804CD1">
        <w:rPr>
          <w:sz w:val="24"/>
          <w:szCs w:val="24"/>
        </w:rPr>
        <w:t xml:space="preserve"> capped.</w:t>
      </w:r>
    </w:p>
    <w:p w14:paraId="76898095" w14:textId="65EB028E" w:rsidR="00804CD1" w:rsidRDefault="00804CD1" w:rsidP="00C34A5C">
      <w:pPr>
        <w:rPr>
          <w:sz w:val="24"/>
          <w:szCs w:val="24"/>
        </w:rPr>
      </w:pPr>
      <w:r>
        <w:rPr>
          <w:sz w:val="24"/>
          <w:szCs w:val="24"/>
        </w:rPr>
        <w:t xml:space="preserve">Other DCFS initiatives have included: </w:t>
      </w:r>
    </w:p>
    <w:p w14:paraId="61293476" w14:textId="7C76AB2F" w:rsidR="00C34A5C" w:rsidRPr="00804CD1" w:rsidRDefault="00804CD1" w:rsidP="00C34A5C">
      <w:pPr>
        <w:rPr>
          <w:sz w:val="24"/>
          <w:szCs w:val="24"/>
        </w:rPr>
      </w:pPr>
      <w:r>
        <w:rPr>
          <w:sz w:val="24"/>
          <w:szCs w:val="24"/>
        </w:rPr>
        <w:t>Implementing a</w:t>
      </w:r>
      <w:r w:rsidR="005E5029" w:rsidRPr="005E5029">
        <w:rPr>
          <w:sz w:val="24"/>
          <w:szCs w:val="24"/>
        </w:rPr>
        <w:t xml:space="preserve"> Differential Response initiative</w:t>
      </w:r>
      <w:r>
        <w:rPr>
          <w:sz w:val="24"/>
          <w:szCs w:val="24"/>
        </w:rPr>
        <w:t>.</w:t>
      </w:r>
      <w:r w:rsidR="00C34A5C">
        <w:rPr>
          <w:sz w:val="24"/>
          <w:szCs w:val="24"/>
        </w:rPr>
        <w:t xml:space="preserve">  </w:t>
      </w:r>
      <w:r w:rsidR="00C34A5C" w:rsidRPr="005E5029">
        <w:rPr>
          <w:sz w:val="24"/>
          <w:szCs w:val="24"/>
        </w:rPr>
        <w:t>DCFS des</w:t>
      </w:r>
      <w:r>
        <w:rPr>
          <w:sz w:val="24"/>
          <w:szCs w:val="24"/>
        </w:rPr>
        <w:t>cribes Differential Response as:</w:t>
      </w:r>
    </w:p>
    <w:p w14:paraId="04CE76E7" w14:textId="5885F3DE" w:rsidR="00C34A5C" w:rsidRDefault="00C34A5C" w:rsidP="00C34A5C">
      <w:pPr>
        <w:ind w:left="432" w:right="432"/>
        <w:rPr>
          <w:sz w:val="24"/>
          <w:szCs w:val="24"/>
        </w:rPr>
      </w:pPr>
      <w:r w:rsidRPr="00EF3F37">
        <w:rPr>
          <w:rFonts w:ascii="Calibri" w:hAnsi="Calibri" w:cs="Calibri"/>
          <w:bCs/>
          <w:color w:val="000000"/>
          <w:sz w:val="20"/>
          <w:szCs w:val="20"/>
        </w:rPr>
        <w:t>Differential Response (DR) is a method that allows the Division to respond to reports of specific, low risk allegations of child maltreatment with a Family Assessment (FA) rather than the traditional investigative response. As with investigations, Differential Response is initiated through accepted Child Abuse Hotline reports and focus</w:t>
      </w:r>
      <w:r w:rsidR="00E85270">
        <w:rPr>
          <w:rFonts w:ascii="Calibri" w:hAnsi="Calibri" w:cs="Calibri"/>
          <w:bCs/>
          <w:color w:val="000000"/>
          <w:sz w:val="20"/>
          <w:szCs w:val="20"/>
        </w:rPr>
        <w:t>es</w:t>
      </w:r>
      <w:r w:rsidRPr="00EF3F37">
        <w:rPr>
          <w:rFonts w:ascii="Calibri" w:hAnsi="Calibri" w:cs="Calibri"/>
          <w:bCs/>
          <w:color w:val="000000"/>
          <w:sz w:val="20"/>
          <w:szCs w:val="20"/>
        </w:rPr>
        <w:t xml:space="preserve"> on the safety</w:t>
      </w:r>
      <w:r w:rsidR="00E85270">
        <w:rPr>
          <w:rFonts w:ascii="Calibri" w:hAnsi="Calibri" w:cs="Calibri"/>
          <w:bCs/>
          <w:color w:val="000000"/>
          <w:sz w:val="20"/>
          <w:szCs w:val="20"/>
        </w:rPr>
        <w:t xml:space="preserve">, permanency and </w:t>
      </w:r>
      <w:r w:rsidRPr="00EF3F37">
        <w:rPr>
          <w:rFonts w:ascii="Calibri" w:hAnsi="Calibri" w:cs="Calibri"/>
          <w:bCs/>
          <w:color w:val="000000"/>
          <w:sz w:val="20"/>
          <w:szCs w:val="20"/>
        </w:rPr>
        <w:t>well-being of the child</w:t>
      </w:r>
      <w:r w:rsidR="00E85270">
        <w:rPr>
          <w:rFonts w:ascii="Calibri" w:hAnsi="Calibri" w:cs="Calibri"/>
          <w:bCs/>
          <w:color w:val="000000"/>
          <w:sz w:val="20"/>
          <w:szCs w:val="20"/>
        </w:rPr>
        <w:t>.  H</w:t>
      </w:r>
      <w:r w:rsidRPr="00EF3F37">
        <w:rPr>
          <w:rFonts w:ascii="Calibri" w:hAnsi="Calibri" w:cs="Calibri"/>
          <w:bCs/>
          <w:color w:val="000000"/>
          <w:sz w:val="20"/>
          <w:szCs w:val="20"/>
        </w:rPr>
        <w:t>aving two different response options in the child welfare system recognizes that there are variations in the severity of the reported maltreatment and allows for a Differential Response or an investigation, whichever is most appropriate, to respond to reports of child neglect.</w:t>
      </w:r>
    </w:p>
    <w:p w14:paraId="5C0B6309" w14:textId="05335F80" w:rsidR="00D952B9" w:rsidRDefault="00804CD1" w:rsidP="00C34A5C">
      <w:pPr>
        <w:rPr>
          <w:sz w:val="24"/>
          <w:szCs w:val="24"/>
        </w:rPr>
      </w:pPr>
      <w:r>
        <w:rPr>
          <w:sz w:val="24"/>
          <w:szCs w:val="24"/>
        </w:rPr>
        <w:t>S</w:t>
      </w:r>
      <w:r w:rsidR="000A6458">
        <w:rPr>
          <w:sz w:val="24"/>
          <w:szCs w:val="24"/>
        </w:rPr>
        <w:t>ecuring</w:t>
      </w:r>
      <w:r w:rsidR="00D952B9" w:rsidRPr="005E5029">
        <w:rPr>
          <w:sz w:val="24"/>
          <w:szCs w:val="24"/>
        </w:rPr>
        <w:t xml:space="preserve"> a federal Diligent Recruitment Grant, to recruit and support resource families in the four </w:t>
      </w:r>
      <w:r>
        <w:rPr>
          <w:sz w:val="24"/>
          <w:szCs w:val="24"/>
        </w:rPr>
        <w:t>DCFS Areas in the highest need</w:t>
      </w:r>
      <w:r w:rsidR="00D952B9" w:rsidRPr="005E5029">
        <w:rPr>
          <w:sz w:val="24"/>
          <w:szCs w:val="24"/>
        </w:rPr>
        <w:t xml:space="preserve"> </w:t>
      </w:r>
    </w:p>
    <w:p w14:paraId="73A4057D" w14:textId="17070114" w:rsidR="007C07B9" w:rsidRDefault="000A6458" w:rsidP="00C34A5C">
      <w:pPr>
        <w:rPr>
          <w:sz w:val="24"/>
          <w:szCs w:val="24"/>
        </w:rPr>
      </w:pPr>
      <w:r>
        <w:rPr>
          <w:sz w:val="24"/>
          <w:szCs w:val="24"/>
        </w:rPr>
        <w:t>Utilizing</w:t>
      </w:r>
      <w:r w:rsidR="007C07B9">
        <w:rPr>
          <w:sz w:val="24"/>
          <w:szCs w:val="24"/>
        </w:rPr>
        <w:t xml:space="preserve"> the respected technical assistance organization, Hornby and Zeller, to support the Division’s Quality assurance and quality improvement efforts</w:t>
      </w:r>
    </w:p>
    <w:p w14:paraId="6C23CC8E" w14:textId="0BEDF8F3" w:rsidR="00366A9C" w:rsidRDefault="00804CD1" w:rsidP="00C34A5C">
      <w:pPr>
        <w:rPr>
          <w:sz w:val="24"/>
          <w:szCs w:val="24"/>
        </w:rPr>
      </w:pPr>
      <w:r>
        <w:rPr>
          <w:sz w:val="24"/>
          <w:szCs w:val="24"/>
        </w:rPr>
        <w:t>Implementing</w:t>
      </w:r>
      <w:r w:rsidR="00366A9C">
        <w:rPr>
          <w:sz w:val="24"/>
          <w:szCs w:val="24"/>
        </w:rPr>
        <w:t xml:space="preserve"> the CANS</w:t>
      </w:r>
      <w:r>
        <w:rPr>
          <w:sz w:val="24"/>
          <w:szCs w:val="24"/>
        </w:rPr>
        <w:t xml:space="preserve"> (for children in out-of-home care) and </w:t>
      </w:r>
      <w:r w:rsidR="00366A9C">
        <w:rPr>
          <w:sz w:val="24"/>
          <w:szCs w:val="24"/>
        </w:rPr>
        <w:t xml:space="preserve">FAST </w:t>
      </w:r>
      <w:r>
        <w:rPr>
          <w:sz w:val="24"/>
          <w:szCs w:val="24"/>
        </w:rPr>
        <w:t xml:space="preserve">(foe children living with their own families) assessment </w:t>
      </w:r>
      <w:r w:rsidR="00366A9C">
        <w:rPr>
          <w:sz w:val="24"/>
          <w:szCs w:val="24"/>
        </w:rPr>
        <w:t>tools</w:t>
      </w:r>
    </w:p>
    <w:p w14:paraId="186B1C76" w14:textId="363646C2" w:rsidR="00417A2F" w:rsidRDefault="00804CD1">
      <w:pPr>
        <w:rPr>
          <w:sz w:val="24"/>
          <w:szCs w:val="24"/>
        </w:rPr>
      </w:pPr>
      <w:r>
        <w:rPr>
          <w:sz w:val="24"/>
          <w:szCs w:val="24"/>
        </w:rPr>
        <w:t>Establishing</w:t>
      </w:r>
      <w:r w:rsidR="00366A9C">
        <w:rPr>
          <w:sz w:val="24"/>
          <w:szCs w:val="24"/>
        </w:rPr>
        <w:t xml:space="preserve"> the</w:t>
      </w:r>
      <w:r w:rsidR="00D717F7">
        <w:rPr>
          <w:sz w:val="24"/>
          <w:szCs w:val="24"/>
        </w:rPr>
        <w:t xml:space="preserve"> DCFS </w:t>
      </w:r>
      <w:r w:rsidR="00366A9C">
        <w:rPr>
          <w:sz w:val="24"/>
          <w:szCs w:val="24"/>
        </w:rPr>
        <w:t>Advocacy Council</w:t>
      </w:r>
    </w:p>
    <w:p w14:paraId="78644314" w14:textId="02C117FD" w:rsidR="00D717F7" w:rsidRDefault="00804CD1">
      <w:pPr>
        <w:rPr>
          <w:sz w:val="24"/>
          <w:szCs w:val="24"/>
        </w:rPr>
      </w:pPr>
      <w:r>
        <w:rPr>
          <w:sz w:val="24"/>
          <w:szCs w:val="24"/>
        </w:rPr>
        <w:t>Implementing</w:t>
      </w:r>
      <w:r w:rsidR="00D717F7">
        <w:rPr>
          <w:sz w:val="24"/>
          <w:szCs w:val="24"/>
        </w:rPr>
        <w:t xml:space="preserve"> Structured Decision Making, a safe</w:t>
      </w:r>
      <w:r w:rsidR="00E85270">
        <w:rPr>
          <w:sz w:val="24"/>
          <w:szCs w:val="24"/>
        </w:rPr>
        <w:t>t</w:t>
      </w:r>
      <w:r w:rsidR="00D717F7">
        <w:rPr>
          <w:sz w:val="24"/>
          <w:szCs w:val="24"/>
        </w:rPr>
        <w:t>y</w:t>
      </w:r>
      <w:r w:rsidR="00564185">
        <w:rPr>
          <w:sz w:val="24"/>
          <w:szCs w:val="24"/>
        </w:rPr>
        <w:t xml:space="preserve"> and risk assessment tool in national use</w:t>
      </w:r>
    </w:p>
    <w:p w14:paraId="4FD84D44" w14:textId="64526522" w:rsidR="00564185" w:rsidRDefault="00804CD1">
      <w:pPr>
        <w:rPr>
          <w:sz w:val="24"/>
          <w:szCs w:val="24"/>
        </w:rPr>
      </w:pPr>
      <w:r>
        <w:rPr>
          <w:sz w:val="24"/>
          <w:szCs w:val="24"/>
        </w:rPr>
        <w:t>Implementing</w:t>
      </w:r>
      <w:r w:rsidR="00564185">
        <w:rPr>
          <w:sz w:val="24"/>
          <w:szCs w:val="24"/>
        </w:rPr>
        <w:t xml:space="preserve"> Permanency Roundtables, a Casey Family Programs sponsored approach to moving children and youth to permanency</w:t>
      </w:r>
    </w:p>
    <w:p w14:paraId="2572C01F" w14:textId="1364CB53" w:rsidR="00564185" w:rsidRDefault="00804CD1">
      <w:pPr>
        <w:rPr>
          <w:sz w:val="24"/>
          <w:szCs w:val="24"/>
        </w:rPr>
      </w:pPr>
      <w:r>
        <w:rPr>
          <w:sz w:val="24"/>
          <w:szCs w:val="24"/>
        </w:rPr>
        <w:t>Beginning</w:t>
      </w:r>
      <w:r w:rsidR="00564185">
        <w:rPr>
          <w:sz w:val="24"/>
          <w:szCs w:val="24"/>
        </w:rPr>
        <w:t xml:space="preserve"> Quality Service Reviews of investigative cases</w:t>
      </w:r>
    </w:p>
    <w:p w14:paraId="303B71C1" w14:textId="468C76E5" w:rsidR="00564185" w:rsidRDefault="00804CD1">
      <w:pPr>
        <w:rPr>
          <w:sz w:val="24"/>
          <w:szCs w:val="24"/>
        </w:rPr>
      </w:pPr>
      <w:r>
        <w:rPr>
          <w:sz w:val="24"/>
          <w:szCs w:val="24"/>
        </w:rPr>
        <w:t>Developing</w:t>
      </w:r>
      <w:r w:rsidR="00564185">
        <w:rPr>
          <w:sz w:val="24"/>
          <w:szCs w:val="24"/>
        </w:rPr>
        <w:t xml:space="preserve"> transitional homes for older youth</w:t>
      </w:r>
    </w:p>
    <w:p w14:paraId="4B9689A6" w14:textId="1C6C6FEB" w:rsidR="00564185" w:rsidRDefault="00804CD1">
      <w:pPr>
        <w:rPr>
          <w:sz w:val="24"/>
          <w:szCs w:val="24"/>
        </w:rPr>
      </w:pPr>
      <w:r>
        <w:rPr>
          <w:sz w:val="24"/>
          <w:szCs w:val="24"/>
        </w:rPr>
        <w:t>Conducting</w:t>
      </w:r>
      <w:r w:rsidR="00564185">
        <w:rPr>
          <w:sz w:val="24"/>
          <w:szCs w:val="24"/>
        </w:rPr>
        <w:t xml:space="preserve"> Trauma-Informed Care training for staff</w:t>
      </w:r>
    </w:p>
    <w:p w14:paraId="62701B8E" w14:textId="49DA4ED2" w:rsidR="00564185" w:rsidRDefault="00804CD1">
      <w:pPr>
        <w:rPr>
          <w:sz w:val="24"/>
          <w:szCs w:val="24"/>
        </w:rPr>
      </w:pPr>
      <w:r>
        <w:rPr>
          <w:sz w:val="24"/>
          <w:szCs w:val="24"/>
        </w:rPr>
        <w:t>Developing</w:t>
      </w:r>
      <w:r w:rsidR="00564185">
        <w:rPr>
          <w:sz w:val="24"/>
          <w:szCs w:val="24"/>
        </w:rPr>
        <w:t xml:space="preserve"> a foster care </w:t>
      </w:r>
      <w:r w:rsidR="00366A9C">
        <w:rPr>
          <w:sz w:val="24"/>
          <w:szCs w:val="24"/>
        </w:rPr>
        <w:t xml:space="preserve">and adoption </w:t>
      </w:r>
      <w:r w:rsidR="00564185">
        <w:rPr>
          <w:sz w:val="24"/>
          <w:szCs w:val="24"/>
        </w:rPr>
        <w:t>matching</w:t>
      </w:r>
      <w:r w:rsidR="00366A9C">
        <w:rPr>
          <w:sz w:val="24"/>
          <w:szCs w:val="24"/>
        </w:rPr>
        <w:t xml:space="preserve"> web site</w:t>
      </w:r>
    </w:p>
    <w:p w14:paraId="3C16D407" w14:textId="691562FE" w:rsidR="00366A9C" w:rsidRDefault="00804CD1">
      <w:pPr>
        <w:rPr>
          <w:sz w:val="24"/>
          <w:szCs w:val="24"/>
        </w:rPr>
      </w:pPr>
      <w:r>
        <w:rPr>
          <w:sz w:val="24"/>
          <w:szCs w:val="24"/>
        </w:rPr>
        <w:t>Implementing</w:t>
      </w:r>
      <w:r w:rsidR="00366A9C">
        <w:rPr>
          <w:sz w:val="24"/>
          <w:szCs w:val="24"/>
        </w:rPr>
        <w:t xml:space="preserve"> a New Worker Training structure</w:t>
      </w:r>
    </w:p>
    <w:p w14:paraId="230BBD96" w14:textId="78FC49D4" w:rsidR="00366A9C" w:rsidRDefault="00804CD1">
      <w:pPr>
        <w:rPr>
          <w:sz w:val="24"/>
          <w:szCs w:val="24"/>
        </w:rPr>
      </w:pPr>
      <w:r>
        <w:rPr>
          <w:sz w:val="24"/>
          <w:szCs w:val="24"/>
        </w:rPr>
        <w:t>Issuing</w:t>
      </w:r>
      <w:r w:rsidR="00366A9C">
        <w:rPr>
          <w:sz w:val="24"/>
          <w:szCs w:val="24"/>
        </w:rPr>
        <w:t xml:space="preserve"> policy implementing a statute allowing fictive kin as provisional homes</w:t>
      </w:r>
    </w:p>
    <w:p w14:paraId="0572F58F" w14:textId="3A9CB10A" w:rsidR="00D717F7" w:rsidRPr="005E5029" w:rsidRDefault="00804CD1">
      <w:pPr>
        <w:rPr>
          <w:sz w:val="24"/>
          <w:szCs w:val="24"/>
        </w:rPr>
      </w:pPr>
      <w:r>
        <w:rPr>
          <w:sz w:val="24"/>
          <w:szCs w:val="24"/>
        </w:rPr>
        <w:t>Developing and implementing</w:t>
      </w:r>
      <w:r w:rsidR="00366A9C">
        <w:rPr>
          <w:sz w:val="24"/>
          <w:szCs w:val="24"/>
        </w:rPr>
        <w:t xml:space="preserve"> policy for the subsidized guardianship program</w:t>
      </w:r>
    </w:p>
    <w:p w14:paraId="602FA5DE" w14:textId="07E54FC2" w:rsidR="00417A2F" w:rsidRDefault="008B28E7">
      <w:pPr>
        <w:rPr>
          <w:sz w:val="24"/>
          <w:szCs w:val="24"/>
        </w:rPr>
      </w:pPr>
      <w:r>
        <w:rPr>
          <w:sz w:val="24"/>
          <w:szCs w:val="24"/>
        </w:rPr>
        <w:t>In addition to these efforts, t</w:t>
      </w:r>
      <w:r w:rsidR="004578AD" w:rsidRPr="004578AD">
        <w:rPr>
          <w:sz w:val="24"/>
          <w:szCs w:val="24"/>
        </w:rPr>
        <w:t xml:space="preserve">he </w:t>
      </w:r>
      <w:r w:rsidR="00FD4FA0">
        <w:rPr>
          <w:sz w:val="24"/>
          <w:szCs w:val="24"/>
        </w:rPr>
        <w:t xml:space="preserve">Division of Medical Services, </w:t>
      </w:r>
      <w:r>
        <w:rPr>
          <w:sz w:val="24"/>
          <w:szCs w:val="24"/>
        </w:rPr>
        <w:t xml:space="preserve"> with the support of DCFS and</w:t>
      </w:r>
      <w:r w:rsidR="004578AD">
        <w:rPr>
          <w:sz w:val="24"/>
          <w:szCs w:val="24"/>
        </w:rPr>
        <w:t xml:space="preserve"> </w:t>
      </w:r>
      <w:r w:rsidR="00FD4FA0">
        <w:rPr>
          <w:sz w:val="24"/>
          <w:szCs w:val="24"/>
        </w:rPr>
        <w:t xml:space="preserve">the Division of Behavioral Health Services, </w:t>
      </w:r>
      <w:r w:rsidR="004578AD">
        <w:rPr>
          <w:sz w:val="24"/>
          <w:szCs w:val="24"/>
        </w:rPr>
        <w:t>reduced the percentage of children on anti-psychotics by 86 percent and reduced the percentage among childr</w:t>
      </w:r>
      <w:r>
        <w:rPr>
          <w:sz w:val="24"/>
          <w:szCs w:val="24"/>
        </w:rPr>
        <w:t>en in foster care by 90 percent</w:t>
      </w:r>
      <w:r w:rsidR="00E358B7">
        <w:rPr>
          <w:sz w:val="24"/>
          <w:szCs w:val="24"/>
        </w:rPr>
        <w:t>.</w:t>
      </w:r>
    </w:p>
    <w:p w14:paraId="1EFB2F09" w14:textId="1600DF03" w:rsidR="000C3CD0" w:rsidRPr="003344D8" w:rsidRDefault="00320680" w:rsidP="003344D8">
      <w:pPr>
        <w:pStyle w:val="ListParagraph"/>
        <w:numPr>
          <w:ilvl w:val="0"/>
          <w:numId w:val="8"/>
        </w:numPr>
        <w:rPr>
          <w:b/>
          <w:sz w:val="28"/>
          <w:szCs w:val="28"/>
        </w:rPr>
      </w:pPr>
      <w:r w:rsidRPr="003344D8">
        <w:rPr>
          <w:b/>
          <w:sz w:val="28"/>
          <w:szCs w:val="28"/>
        </w:rPr>
        <w:t>Child Safety</w:t>
      </w:r>
    </w:p>
    <w:p w14:paraId="5C7222FC" w14:textId="5E3BED3B" w:rsidR="00ED28D0" w:rsidRDefault="00320680">
      <w:pPr>
        <w:rPr>
          <w:sz w:val="24"/>
          <w:szCs w:val="24"/>
        </w:rPr>
      </w:pPr>
      <w:r w:rsidRPr="00320680">
        <w:rPr>
          <w:sz w:val="24"/>
          <w:szCs w:val="24"/>
        </w:rPr>
        <w:t>DCFS shares child protection responsibility with</w:t>
      </w:r>
      <w:r>
        <w:rPr>
          <w:sz w:val="24"/>
          <w:szCs w:val="24"/>
        </w:rPr>
        <w:t xml:space="preserve"> the Crimes Against Children Division (CACD) of the Arkansas State Police, which is responsible for receiving</w:t>
      </w:r>
      <w:r w:rsidR="00E85270">
        <w:rPr>
          <w:sz w:val="24"/>
          <w:szCs w:val="24"/>
        </w:rPr>
        <w:t xml:space="preserve"> all</w:t>
      </w:r>
      <w:r>
        <w:rPr>
          <w:sz w:val="24"/>
          <w:szCs w:val="24"/>
        </w:rPr>
        <w:t xml:space="preserve"> reports of suspected maltreatment</w:t>
      </w:r>
      <w:r w:rsidR="00E85270">
        <w:rPr>
          <w:sz w:val="24"/>
          <w:szCs w:val="24"/>
        </w:rPr>
        <w:t>.  CACD determines</w:t>
      </w:r>
      <w:r>
        <w:rPr>
          <w:sz w:val="24"/>
          <w:szCs w:val="24"/>
        </w:rPr>
        <w:t xml:space="preserve"> if the report meets the criteria for child maltreatment, assigns response priorities to the report based on risk and severity of the alleged maltreatment and determines whether the CACD or DCFS should be responsible for investigation of the allegations.  CACD also has responsibility</w:t>
      </w:r>
      <w:r w:rsidR="000978C0">
        <w:rPr>
          <w:sz w:val="24"/>
          <w:szCs w:val="24"/>
        </w:rPr>
        <w:t xml:space="preserve"> for investigating Priority I reports and allegations of maltreatment in foster homes.</w:t>
      </w:r>
      <w:r w:rsidR="00BB167A">
        <w:rPr>
          <w:sz w:val="24"/>
          <w:szCs w:val="24"/>
        </w:rPr>
        <w:t xml:space="preserve">  DCFS has responsibility for investigating all other valid al</w:t>
      </w:r>
      <w:r w:rsidR="000978C0">
        <w:rPr>
          <w:sz w:val="24"/>
          <w:szCs w:val="24"/>
        </w:rPr>
        <w:t>legations of child maltreatment.</w:t>
      </w:r>
    </w:p>
    <w:p w14:paraId="3B296D19" w14:textId="77777777" w:rsidR="00C00A48" w:rsidRPr="00C00A48" w:rsidRDefault="00C00A48">
      <w:pPr>
        <w:rPr>
          <w:b/>
          <w:i/>
          <w:sz w:val="24"/>
          <w:szCs w:val="24"/>
        </w:rPr>
      </w:pPr>
      <w:r>
        <w:rPr>
          <w:b/>
          <w:i/>
          <w:sz w:val="24"/>
          <w:szCs w:val="24"/>
        </w:rPr>
        <w:t>Trend and Performance Data</w:t>
      </w:r>
    </w:p>
    <w:p w14:paraId="3F4B1F57" w14:textId="7803DF34" w:rsidR="000421F6" w:rsidRPr="00EF3F37" w:rsidRDefault="00BB167A" w:rsidP="005E5029">
      <w:pPr>
        <w:rPr>
          <w:sz w:val="24"/>
          <w:szCs w:val="24"/>
        </w:rPr>
      </w:pPr>
      <w:r>
        <w:rPr>
          <w:sz w:val="24"/>
          <w:szCs w:val="24"/>
        </w:rPr>
        <w:t xml:space="preserve">In SFY 2014 the hotline </w:t>
      </w:r>
      <w:r w:rsidR="008526D7">
        <w:rPr>
          <w:sz w:val="24"/>
          <w:szCs w:val="24"/>
        </w:rPr>
        <w:t>accepted</w:t>
      </w:r>
      <w:r w:rsidR="00966F76">
        <w:rPr>
          <w:sz w:val="24"/>
          <w:szCs w:val="24"/>
        </w:rPr>
        <w:t xml:space="preserve"> 32,928 reports of maltreatment.  Sixteen percent, or 5,123 were assigned to CACD and 84 percent, or 27,805 reports were assigned to DCFS.  Of those assigned to DCFS, 3,840, or 14 percent were assigned to Differential Response.</w:t>
      </w:r>
      <w:r w:rsidR="000421F6">
        <w:rPr>
          <w:sz w:val="24"/>
          <w:szCs w:val="24"/>
        </w:rPr>
        <w:t xml:space="preserve">  </w:t>
      </w:r>
    </w:p>
    <w:p w14:paraId="3FFE1C7B" w14:textId="4FD5A995" w:rsidR="00BB167A" w:rsidRDefault="00C00A48">
      <w:pPr>
        <w:rPr>
          <w:sz w:val="24"/>
          <w:szCs w:val="24"/>
        </w:rPr>
      </w:pPr>
      <w:r>
        <w:rPr>
          <w:sz w:val="24"/>
          <w:szCs w:val="24"/>
        </w:rPr>
        <w:t xml:space="preserve">The table below identifies the </w:t>
      </w:r>
      <w:r w:rsidR="00C34A5C">
        <w:rPr>
          <w:sz w:val="24"/>
          <w:szCs w:val="24"/>
        </w:rPr>
        <w:t xml:space="preserve">recent </w:t>
      </w:r>
      <w:r>
        <w:rPr>
          <w:sz w:val="24"/>
          <w:szCs w:val="24"/>
        </w:rPr>
        <w:t>quarterly trend of the number of new cases assigned to DCFS for the 2</w:t>
      </w:r>
      <w:r w:rsidRPr="00C00A48">
        <w:rPr>
          <w:sz w:val="24"/>
          <w:szCs w:val="24"/>
          <w:vertAlign w:val="superscript"/>
        </w:rPr>
        <w:t>nd</w:t>
      </w:r>
      <w:r>
        <w:rPr>
          <w:sz w:val="24"/>
          <w:szCs w:val="24"/>
        </w:rPr>
        <w:t xml:space="preserve"> Quarter of the past three years.  The volume has been relatively stable for the past two years and slightly higher for 2015.  </w:t>
      </w:r>
    </w:p>
    <w:p w14:paraId="1297664A" w14:textId="77777777" w:rsidR="00A149E2" w:rsidRDefault="00A149E2" w:rsidP="00A149E2">
      <w:pPr>
        <w:pStyle w:val="NoSpacing"/>
        <w:rPr>
          <w:b/>
          <w:i/>
          <w:sz w:val="24"/>
          <w:szCs w:val="24"/>
        </w:rPr>
      </w:pPr>
      <w:r>
        <w:rPr>
          <w:b/>
          <w:i/>
          <w:sz w:val="24"/>
          <w:szCs w:val="24"/>
        </w:rPr>
        <w:t>Number</w:t>
      </w:r>
      <w:r w:rsidRPr="005D1BB3">
        <w:rPr>
          <w:b/>
          <w:i/>
          <w:sz w:val="24"/>
          <w:szCs w:val="24"/>
        </w:rPr>
        <w:t xml:space="preserve"> of Child Maltreatment Reports Assigned to DCFS </w:t>
      </w:r>
    </w:p>
    <w:p w14:paraId="553BE2EC" w14:textId="77777777" w:rsidR="00596484" w:rsidRDefault="00596484" w:rsidP="00A149E2">
      <w:pPr>
        <w:pStyle w:val="NoSpacing"/>
        <w:rPr>
          <w:b/>
          <w:i/>
          <w:sz w:val="24"/>
          <w:szCs w:val="24"/>
        </w:rPr>
      </w:pPr>
    </w:p>
    <w:p w14:paraId="757D60DB" w14:textId="77777777" w:rsidR="00596484" w:rsidRDefault="00596484" w:rsidP="00596484">
      <w:pPr>
        <w:pStyle w:val="NoSpacing"/>
        <w:rPr>
          <w:sz w:val="24"/>
          <w:szCs w:val="24"/>
        </w:rPr>
      </w:pPr>
      <w:r w:rsidRPr="005D1BB3">
        <w:rPr>
          <w:sz w:val="24"/>
          <w:szCs w:val="24"/>
        </w:rPr>
        <w:t>2</w:t>
      </w:r>
      <w:r w:rsidRPr="005D1BB3">
        <w:rPr>
          <w:sz w:val="24"/>
          <w:szCs w:val="24"/>
          <w:vertAlign w:val="superscript"/>
        </w:rPr>
        <w:t>nd</w:t>
      </w:r>
      <w:r>
        <w:rPr>
          <w:sz w:val="24"/>
          <w:szCs w:val="24"/>
        </w:rPr>
        <w:t xml:space="preserve"> Qtr SFY 2011</w:t>
      </w:r>
      <w:r w:rsidRPr="005D1BB3">
        <w:rPr>
          <w:sz w:val="24"/>
          <w:szCs w:val="24"/>
        </w:rPr>
        <w:t xml:space="preserve"> </w:t>
      </w:r>
      <w:r>
        <w:rPr>
          <w:sz w:val="24"/>
          <w:szCs w:val="24"/>
        </w:rPr>
        <w:t>– 7,365</w:t>
      </w:r>
    </w:p>
    <w:p w14:paraId="65F9ABB1" w14:textId="77777777" w:rsidR="00596484" w:rsidRDefault="00596484" w:rsidP="00596484">
      <w:pPr>
        <w:pStyle w:val="NoSpacing"/>
        <w:rPr>
          <w:sz w:val="24"/>
          <w:szCs w:val="24"/>
        </w:rPr>
      </w:pPr>
      <w:r w:rsidRPr="005D1BB3">
        <w:rPr>
          <w:sz w:val="24"/>
          <w:szCs w:val="24"/>
        </w:rPr>
        <w:t>2</w:t>
      </w:r>
      <w:r w:rsidRPr="005D1BB3">
        <w:rPr>
          <w:sz w:val="24"/>
          <w:szCs w:val="24"/>
          <w:vertAlign w:val="superscript"/>
        </w:rPr>
        <w:t>nd</w:t>
      </w:r>
      <w:r>
        <w:rPr>
          <w:sz w:val="24"/>
          <w:szCs w:val="24"/>
        </w:rPr>
        <w:t xml:space="preserve"> Qtr SFY 2012</w:t>
      </w:r>
      <w:r w:rsidRPr="005D1BB3">
        <w:rPr>
          <w:sz w:val="24"/>
          <w:szCs w:val="24"/>
        </w:rPr>
        <w:t xml:space="preserve"> </w:t>
      </w:r>
      <w:r>
        <w:rPr>
          <w:sz w:val="24"/>
          <w:szCs w:val="24"/>
        </w:rPr>
        <w:t>– 7,778</w:t>
      </w:r>
    </w:p>
    <w:p w14:paraId="363C8223" w14:textId="77777777" w:rsidR="00596484" w:rsidRPr="005D1BB3" w:rsidRDefault="00596484" w:rsidP="00596484">
      <w:pPr>
        <w:pStyle w:val="NoSpacing"/>
        <w:rPr>
          <w:sz w:val="24"/>
          <w:szCs w:val="24"/>
        </w:rPr>
      </w:pPr>
      <w:r w:rsidRPr="005D1BB3">
        <w:rPr>
          <w:sz w:val="24"/>
          <w:szCs w:val="24"/>
        </w:rPr>
        <w:t>2</w:t>
      </w:r>
      <w:r w:rsidRPr="005D1BB3">
        <w:rPr>
          <w:sz w:val="24"/>
          <w:szCs w:val="24"/>
          <w:vertAlign w:val="superscript"/>
        </w:rPr>
        <w:t>nd</w:t>
      </w:r>
      <w:r w:rsidRPr="005D1BB3">
        <w:rPr>
          <w:sz w:val="24"/>
          <w:szCs w:val="24"/>
        </w:rPr>
        <w:t xml:space="preserve"> Qtr SFY 2013 </w:t>
      </w:r>
      <w:r>
        <w:rPr>
          <w:sz w:val="24"/>
          <w:szCs w:val="24"/>
        </w:rPr>
        <w:t>–</w:t>
      </w:r>
      <w:r w:rsidRPr="005D1BB3">
        <w:rPr>
          <w:sz w:val="24"/>
          <w:szCs w:val="24"/>
        </w:rPr>
        <w:t xml:space="preserve"> 7,670</w:t>
      </w:r>
    </w:p>
    <w:p w14:paraId="4A595494" w14:textId="77777777" w:rsidR="00596484" w:rsidRPr="005D1BB3" w:rsidRDefault="00596484" w:rsidP="00596484">
      <w:pPr>
        <w:pStyle w:val="NoSpacing"/>
        <w:rPr>
          <w:sz w:val="24"/>
          <w:szCs w:val="24"/>
        </w:rPr>
      </w:pPr>
      <w:r w:rsidRPr="005D1BB3">
        <w:rPr>
          <w:sz w:val="24"/>
          <w:szCs w:val="24"/>
        </w:rPr>
        <w:t>2</w:t>
      </w:r>
      <w:r w:rsidRPr="005D1BB3">
        <w:rPr>
          <w:sz w:val="24"/>
          <w:szCs w:val="24"/>
          <w:vertAlign w:val="superscript"/>
        </w:rPr>
        <w:t>nd</w:t>
      </w:r>
      <w:r>
        <w:rPr>
          <w:sz w:val="24"/>
          <w:szCs w:val="24"/>
        </w:rPr>
        <w:t xml:space="preserve"> Qtr SFY 2014 – 6,518 (5,473 investigations / 1,045 Differential Response referrals)</w:t>
      </w:r>
    </w:p>
    <w:p w14:paraId="1E813DDA" w14:textId="30DFA82A" w:rsidR="00596484" w:rsidRPr="00596484" w:rsidRDefault="00596484" w:rsidP="00A149E2">
      <w:pPr>
        <w:pStyle w:val="NoSpacing"/>
        <w:rPr>
          <w:sz w:val="24"/>
          <w:szCs w:val="24"/>
        </w:rPr>
      </w:pPr>
      <w:r w:rsidRPr="005D1BB3">
        <w:rPr>
          <w:sz w:val="24"/>
          <w:szCs w:val="24"/>
        </w:rPr>
        <w:t>2</w:t>
      </w:r>
      <w:r w:rsidRPr="005D1BB3">
        <w:rPr>
          <w:sz w:val="24"/>
          <w:szCs w:val="24"/>
          <w:vertAlign w:val="superscript"/>
        </w:rPr>
        <w:t>nd</w:t>
      </w:r>
      <w:r>
        <w:rPr>
          <w:sz w:val="24"/>
          <w:szCs w:val="24"/>
        </w:rPr>
        <w:t xml:space="preserve"> Qtr SFY 2015 – 6,757 (5,844 investigations / 913 D</w:t>
      </w:r>
      <w:r w:rsidR="00C34A5C">
        <w:rPr>
          <w:sz w:val="24"/>
          <w:szCs w:val="24"/>
        </w:rPr>
        <w:t xml:space="preserve">ifferential </w:t>
      </w:r>
      <w:r>
        <w:rPr>
          <w:sz w:val="24"/>
          <w:szCs w:val="24"/>
        </w:rPr>
        <w:t>R</w:t>
      </w:r>
      <w:r w:rsidR="00C34A5C">
        <w:rPr>
          <w:sz w:val="24"/>
          <w:szCs w:val="24"/>
        </w:rPr>
        <w:t>esponse</w:t>
      </w:r>
      <w:r>
        <w:rPr>
          <w:sz w:val="24"/>
          <w:szCs w:val="24"/>
        </w:rPr>
        <w:t xml:space="preserve"> referrals)</w:t>
      </w:r>
    </w:p>
    <w:p w14:paraId="1FD821BD" w14:textId="77777777" w:rsidR="00C34A5C" w:rsidRDefault="00C34A5C" w:rsidP="00C34A5C">
      <w:pPr>
        <w:pStyle w:val="NoSpacing"/>
        <w:rPr>
          <w:sz w:val="24"/>
          <w:szCs w:val="24"/>
        </w:rPr>
      </w:pPr>
    </w:p>
    <w:p w14:paraId="40BDCC44" w14:textId="77777777" w:rsidR="00CF5E2D" w:rsidRDefault="00A149E2" w:rsidP="002C4AD5">
      <w:pPr>
        <w:rPr>
          <w:sz w:val="24"/>
          <w:szCs w:val="24"/>
        </w:rPr>
      </w:pPr>
      <w:r>
        <w:rPr>
          <w:sz w:val="24"/>
          <w:szCs w:val="24"/>
        </w:rPr>
        <w:t xml:space="preserve">According to the </w:t>
      </w:r>
      <w:r w:rsidR="002C4AD5">
        <w:rPr>
          <w:sz w:val="24"/>
          <w:szCs w:val="24"/>
        </w:rPr>
        <w:t xml:space="preserve">HHS </w:t>
      </w:r>
      <w:r>
        <w:rPr>
          <w:sz w:val="24"/>
          <w:szCs w:val="24"/>
        </w:rPr>
        <w:t xml:space="preserve">Administration for Children and Families publication </w:t>
      </w:r>
      <w:r w:rsidRPr="002C4AD5">
        <w:rPr>
          <w:i/>
          <w:sz w:val="24"/>
          <w:szCs w:val="24"/>
        </w:rPr>
        <w:t>Child Maltreatment 2013</w:t>
      </w:r>
      <w:r>
        <w:rPr>
          <w:sz w:val="24"/>
          <w:szCs w:val="24"/>
        </w:rPr>
        <w:t xml:space="preserve">, the rate of child maltreatment reporting in Arkansas was 72.9 </w:t>
      </w:r>
      <w:r w:rsidR="002C4AD5">
        <w:rPr>
          <w:sz w:val="24"/>
          <w:szCs w:val="24"/>
        </w:rPr>
        <w:t xml:space="preserve">reports </w:t>
      </w:r>
      <w:r>
        <w:rPr>
          <w:sz w:val="24"/>
          <w:szCs w:val="24"/>
        </w:rPr>
        <w:t>per 1</w:t>
      </w:r>
      <w:r w:rsidR="00FE6633">
        <w:rPr>
          <w:sz w:val="24"/>
          <w:szCs w:val="24"/>
        </w:rPr>
        <w:t>,</w:t>
      </w:r>
      <w:r>
        <w:rPr>
          <w:sz w:val="24"/>
          <w:szCs w:val="24"/>
        </w:rPr>
        <w:t>000 children.  The national average rate was 47.1</w:t>
      </w:r>
      <w:r w:rsidR="00CF5E2D">
        <w:rPr>
          <w:sz w:val="24"/>
          <w:szCs w:val="24"/>
        </w:rPr>
        <w:t xml:space="preserve">.  In </w:t>
      </w:r>
      <w:r>
        <w:rPr>
          <w:sz w:val="24"/>
          <w:szCs w:val="24"/>
        </w:rPr>
        <w:t>nearby states, the rates were</w:t>
      </w:r>
      <w:r w:rsidR="00CF5E2D">
        <w:rPr>
          <w:sz w:val="24"/>
          <w:szCs w:val="24"/>
        </w:rPr>
        <w:t>:</w:t>
      </w:r>
      <w:r>
        <w:rPr>
          <w:sz w:val="24"/>
          <w:szCs w:val="24"/>
        </w:rPr>
        <w:t xml:space="preserve"> </w:t>
      </w:r>
    </w:p>
    <w:p w14:paraId="06137A61" w14:textId="0AD53A6D" w:rsidR="00CF5E2D" w:rsidRPr="00CF5E2D" w:rsidRDefault="00CF5E2D" w:rsidP="00CF5E2D">
      <w:pPr>
        <w:pStyle w:val="NoSpacing"/>
        <w:rPr>
          <w:sz w:val="24"/>
          <w:szCs w:val="24"/>
        </w:rPr>
      </w:pPr>
      <w:r w:rsidRPr="00CF5E2D">
        <w:rPr>
          <w:sz w:val="24"/>
          <w:szCs w:val="24"/>
        </w:rPr>
        <w:t>Texas - 28.2</w:t>
      </w:r>
      <w:r w:rsidR="00A149E2" w:rsidRPr="00CF5E2D">
        <w:rPr>
          <w:sz w:val="24"/>
          <w:szCs w:val="24"/>
        </w:rPr>
        <w:t xml:space="preserve"> </w:t>
      </w:r>
    </w:p>
    <w:p w14:paraId="2C268A95" w14:textId="7A7BAA8B" w:rsidR="00CF5E2D" w:rsidRPr="00CF5E2D" w:rsidRDefault="00CF5E2D" w:rsidP="00CF5E2D">
      <w:pPr>
        <w:pStyle w:val="NoSpacing"/>
        <w:rPr>
          <w:sz w:val="24"/>
          <w:szCs w:val="24"/>
        </w:rPr>
      </w:pPr>
      <w:r w:rsidRPr="00CF5E2D">
        <w:rPr>
          <w:sz w:val="24"/>
          <w:szCs w:val="24"/>
        </w:rPr>
        <w:t>Missouri – 56.0</w:t>
      </w:r>
      <w:r w:rsidR="00A149E2" w:rsidRPr="00CF5E2D">
        <w:rPr>
          <w:sz w:val="24"/>
          <w:szCs w:val="24"/>
        </w:rPr>
        <w:t xml:space="preserve"> </w:t>
      </w:r>
    </w:p>
    <w:p w14:paraId="44052C2E" w14:textId="483541E1" w:rsidR="00CF5E2D" w:rsidRPr="00CF5E2D" w:rsidRDefault="00CF5E2D" w:rsidP="00CF5E2D">
      <w:pPr>
        <w:pStyle w:val="NoSpacing"/>
        <w:rPr>
          <w:sz w:val="24"/>
          <w:szCs w:val="24"/>
        </w:rPr>
      </w:pPr>
      <w:r w:rsidRPr="00CF5E2D">
        <w:rPr>
          <w:sz w:val="24"/>
          <w:szCs w:val="24"/>
        </w:rPr>
        <w:t xml:space="preserve">Oklahoma - 63.2 </w:t>
      </w:r>
    </w:p>
    <w:p w14:paraId="6C21CF7F" w14:textId="6519042E" w:rsidR="00CF5E2D" w:rsidRDefault="00A149E2" w:rsidP="00CF5E2D">
      <w:pPr>
        <w:pStyle w:val="NoSpacing"/>
        <w:rPr>
          <w:sz w:val="24"/>
          <w:szCs w:val="24"/>
        </w:rPr>
      </w:pPr>
      <w:r w:rsidRPr="00CF5E2D">
        <w:rPr>
          <w:sz w:val="24"/>
          <w:szCs w:val="24"/>
        </w:rPr>
        <w:t>Louisiana -</w:t>
      </w:r>
      <w:r w:rsidR="00CF5E2D" w:rsidRPr="00CF5E2D">
        <w:rPr>
          <w:sz w:val="24"/>
          <w:szCs w:val="24"/>
        </w:rPr>
        <w:t xml:space="preserve"> 37.7</w:t>
      </w:r>
    </w:p>
    <w:p w14:paraId="3F671EC9" w14:textId="77777777" w:rsidR="00CF5E2D" w:rsidRPr="00CF5E2D" w:rsidRDefault="00CF5E2D" w:rsidP="00CF5E2D">
      <w:pPr>
        <w:pStyle w:val="NoSpacing"/>
        <w:rPr>
          <w:sz w:val="24"/>
          <w:szCs w:val="24"/>
        </w:rPr>
      </w:pPr>
    </w:p>
    <w:p w14:paraId="736501FA" w14:textId="6822338B" w:rsidR="00CB4A1B" w:rsidRDefault="00C34A5C" w:rsidP="002C4AD5">
      <w:pPr>
        <w:rPr>
          <w:sz w:val="24"/>
          <w:szCs w:val="24"/>
        </w:rPr>
      </w:pPr>
      <w:r>
        <w:rPr>
          <w:sz w:val="24"/>
          <w:szCs w:val="24"/>
        </w:rPr>
        <w:t xml:space="preserve">Reporting rates have an obvious </w:t>
      </w:r>
      <w:r w:rsidR="00A149E2">
        <w:rPr>
          <w:sz w:val="24"/>
          <w:szCs w:val="24"/>
        </w:rPr>
        <w:t>impact on workload and costs.</w:t>
      </w:r>
    </w:p>
    <w:p w14:paraId="25A25080" w14:textId="455BF3C7" w:rsidR="00CF5E2D" w:rsidRDefault="00C00A48" w:rsidP="00D51C10">
      <w:pPr>
        <w:pStyle w:val="NoSpacing"/>
        <w:rPr>
          <w:color w:val="FF0000"/>
          <w:sz w:val="24"/>
          <w:szCs w:val="24"/>
        </w:rPr>
      </w:pPr>
      <w:r>
        <w:rPr>
          <w:sz w:val="24"/>
          <w:szCs w:val="24"/>
        </w:rPr>
        <w:t>The most recent data on the percentage of alleged maltreatme</w:t>
      </w:r>
      <w:r w:rsidR="002C4AD5">
        <w:rPr>
          <w:sz w:val="24"/>
          <w:szCs w:val="24"/>
        </w:rPr>
        <w:t>nt reports being determined as t</w:t>
      </w:r>
      <w:r>
        <w:rPr>
          <w:sz w:val="24"/>
          <w:szCs w:val="24"/>
        </w:rPr>
        <w:t>rue, meaning substantiated, shows that 19 percent of cases had a true finding in that quarter.  Overall for 2014, 22 percent of allegations were found as true</w:t>
      </w:r>
      <w:r w:rsidR="007C07B9">
        <w:rPr>
          <w:sz w:val="24"/>
          <w:szCs w:val="24"/>
        </w:rPr>
        <w:t>.</w:t>
      </w:r>
    </w:p>
    <w:p w14:paraId="5EF70E72" w14:textId="77777777" w:rsidR="00CF5E2D" w:rsidRDefault="00CF5E2D" w:rsidP="00D51C10">
      <w:pPr>
        <w:pStyle w:val="NoSpacing"/>
        <w:rPr>
          <w:color w:val="FF0000"/>
          <w:sz w:val="24"/>
          <w:szCs w:val="24"/>
        </w:rPr>
      </w:pPr>
    </w:p>
    <w:p w14:paraId="2B0F6012" w14:textId="77777777" w:rsidR="00E358B7" w:rsidRDefault="00E358B7" w:rsidP="00D51C10">
      <w:pPr>
        <w:pStyle w:val="NoSpacing"/>
        <w:rPr>
          <w:color w:val="FF0000"/>
          <w:sz w:val="24"/>
          <w:szCs w:val="24"/>
        </w:rPr>
      </w:pPr>
    </w:p>
    <w:p w14:paraId="4D6313FC" w14:textId="77777777" w:rsidR="00700E8B" w:rsidRDefault="00700E8B" w:rsidP="00D51C10">
      <w:pPr>
        <w:pStyle w:val="NoSpacing"/>
        <w:rPr>
          <w:b/>
          <w:i/>
          <w:sz w:val="24"/>
          <w:szCs w:val="24"/>
        </w:rPr>
      </w:pPr>
      <w:r w:rsidRPr="00700E8B">
        <w:rPr>
          <w:b/>
          <w:i/>
          <w:sz w:val="24"/>
          <w:szCs w:val="24"/>
        </w:rPr>
        <w:t xml:space="preserve">Relationship </w:t>
      </w:r>
      <w:r>
        <w:rPr>
          <w:b/>
          <w:i/>
          <w:sz w:val="24"/>
          <w:szCs w:val="24"/>
        </w:rPr>
        <w:t>b</w:t>
      </w:r>
      <w:r w:rsidRPr="00700E8B">
        <w:rPr>
          <w:b/>
          <w:i/>
          <w:sz w:val="24"/>
          <w:szCs w:val="24"/>
        </w:rPr>
        <w:t>etween DCFS and CACD</w:t>
      </w:r>
    </w:p>
    <w:p w14:paraId="6D029338" w14:textId="77777777" w:rsidR="00700E8B" w:rsidRDefault="00700E8B" w:rsidP="00D51C10">
      <w:pPr>
        <w:pStyle w:val="NoSpacing"/>
        <w:rPr>
          <w:b/>
          <w:i/>
          <w:sz w:val="24"/>
          <w:szCs w:val="24"/>
        </w:rPr>
      </w:pPr>
    </w:p>
    <w:p w14:paraId="16D6C208" w14:textId="77777777" w:rsidR="00700E8B" w:rsidRDefault="00700E8B" w:rsidP="00D51C10">
      <w:pPr>
        <w:pStyle w:val="NoSpacing"/>
        <w:rPr>
          <w:sz w:val="24"/>
          <w:szCs w:val="24"/>
        </w:rPr>
      </w:pPr>
      <w:r>
        <w:rPr>
          <w:sz w:val="24"/>
          <w:szCs w:val="24"/>
        </w:rPr>
        <w:t xml:space="preserve">As previously mentioned, DCFS and CACD share a role in in investigating child maltreatment reports.  In assessing this relationship staff in both organizations were interviewed and an April 2013 internal DCFS report by Hornby Zeller Associates titled </w:t>
      </w:r>
      <w:r w:rsidRPr="00C34A5C">
        <w:rPr>
          <w:sz w:val="24"/>
          <w:szCs w:val="24"/>
          <w:u w:val="single"/>
        </w:rPr>
        <w:t>A Review of the Arkansas Child Abuse Hotline</w:t>
      </w:r>
      <w:r>
        <w:rPr>
          <w:sz w:val="24"/>
          <w:szCs w:val="24"/>
        </w:rPr>
        <w:t xml:space="preserve"> was reviewed.</w:t>
      </w:r>
    </w:p>
    <w:p w14:paraId="47DE7BF5" w14:textId="77777777" w:rsidR="00700E8B" w:rsidRDefault="00700E8B" w:rsidP="00D51C10">
      <w:pPr>
        <w:pStyle w:val="NoSpacing"/>
        <w:rPr>
          <w:sz w:val="24"/>
          <w:szCs w:val="24"/>
        </w:rPr>
      </w:pPr>
    </w:p>
    <w:p w14:paraId="3D4631AF" w14:textId="26E4C555" w:rsidR="00700E8B" w:rsidRDefault="00700E8B" w:rsidP="00D51C10">
      <w:pPr>
        <w:pStyle w:val="NoSpacing"/>
        <w:rPr>
          <w:sz w:val="24"/>
          <w:szCs w:val="24"/>
        </w:rPr>
      </w:pPr>
      <w:r>
        <w:rPr>
          <w:sz w:val="24"/>
          <w:szCs w:val="24"/>
        </w:rPr>
        <w:t xml:space="preserve">Arkansas is unique among states in separating the child maltreatment response function between DCFS and another agency, in this case the State Police.  CACD receives </w:t>
      </w:r>
      <w:r w:rsidR="00CF5E2D">
        <w:rPr>
          <w:sz w:val="24"/>
          <w:szCs w:val="24"/>
        </w:rPr>
        <w:t xml:space="preserve">all </w:t>
      </w:r>
      <w:r>
        <w:rPr>
          <w:sz w:val="24"/>
          <w:szCs w:val="24"/>
        </w:rPr>
        <w:t xml:space="preserve">calls alleging child maltreatment, determines if they </w:t>
      </w:r>
      <w:r w:rsidR="001F57B1">
        <w:rPr>
          <w:sz w:val="24"/>
          <w:szCs w:val="24"/>
        </w:rPr>
        <w:t xml:space="preserve">the meet the legal criteria for child </w:t>
      </w:r>
      <w:r>
        <w:rPr>
          <w:sz w:val="24"/>
          <w:szCs w:val="24"/>
        </w:rPr>
        <w:t>maltreatment, determines the prospective seriousness of the allegation and assigns the report to either its own investigators or DCFS.  The two agencies also share investigative roles.  CACD</w:t>
      </w:r>
      <w:r w:rsidR="001F57B1">
        <w:rPr>
          <w:sz w:val="24"/>
          <w:szCs w:val="24"/>
        </w:rPr>
        <w:t xml:space="preserve"> investigates allegations that could constitute serious criminal abuse</w:t>
      </w:r>
      <w:r w:rsidR="00877CD0">
        <w:rPr>
          <w:sz w:val="24"/>
          <w:szCs w:val="24"/>
        </w:rPr>
        <w:t xml:space="preserve"> and alleged maltreatment of children by foster parents</w:t>
      </w:r>
      <w:r w:rsidR="001F57B1">
        <w:rPr>
          <w:sz w:val="24"/>
          <w:szCs w:val="24"/>
        </w:rPr>
        <w:t xml:space="preserve"> and DCFS investigates all other cases.</w:t>
      </w:r>
    </w:p>
    <w:p w14:paraId="48ECCB95" w14:textId="77777777" w:rsidR="00877CD0" w:rsidRDefault="00877CD0" w:rsidP="00D51C10">
      <w:pPr>
        <w:pStyle w:val="NoSpacing"/>
        <w:rPr>
          <w:sz w:val="24"/>
          <w:szCs w:val="24"/>
        </w:rPr>
      </w:pPr>
    </w:p>
    <w:p w14:paraId="3F4AF822" w14:textId="7154E0D1" w:rsidR="001F57B1" w:rsidRDefault="001F57B1" w:rsidP="00D51C10">
      <w:pPr>
        <w:pStyle w:val="NoSpacing"/>
        <w:rPr>
          <w:sz w:val="24"/>
          <w:szCs w:val="24"/>
        </w:rPr>
      </w:pPr>
      <w:r>
        <w:rPr>
          <w:sz w:val="24"/>
          <w:szCs w:val="24"/>
        </w:rPr>
        <w:t>According to the Hornby Zeller Report, based on a sample of cases, “The Hotline accepted and screened out reports appropriately in the vast majority of calls.</w:t>
      </w:r>
      <w:r w:rsidR="008B28E7">
        <w:rPr>
          <w:sz w:val="24"/>
          <w:szCs w:val="24"/>
        </w:rPr>
        <w:t>”</w:t>
      </w:r>
      <w:r>
        <w:rPr>
          <w:sz w:val="24"/>
          <w:szCs w:val="24"/>
        </w:rPr>
        <w:t xml:space="preserve">  According to the report and interviews with CACD leadership, the Hotline experiences some delays</w:t>
      </w:r>
      <w:r w:rsidR="00EC4B78">
        <w:rPr>
          <w:sz w:val="24"/>
          <w:szCs w:val="24"/>
        </w:rPr>
        <w:t xml:space="preserve"> in connecting with the caller, with an average wait time of 8 minutes and 18 seconds in the review month in 2012.  The report identified th</w:t>
      </w:r>
      <w:r w:rsidR="00464D08">
        <w:rPr>
          <w:sz w:val="24"/>
          <w:szCs w:val="24"/>
        </w:rPr>
        <w:t>ree factors affecting wait time:</w:t>
      </w:r>
      <w:r w:rsidR="00EC4B78">
        <w:rPr>
          <w:sz w:val="24"/>
          <w:szCs w:val="24"/>
        </w:rPr>
        <w:t xml:space="preserve"> the volume of calls received, limited ability to divert automatically to appropriate resources and the practice of taking all caller information even though it is apparent the </w:t>
      </w:r>
      <w:r w:rsidR="00CF5E2D">
        <w:rPr>
          <w:sz w:val="24"/>
          <w:szCs w:val="24"/>
        </w:rPr>
        <w:t>allegation</w:t>
      </w:r>
      <w:r w:rsidR="00EC4B78">
        <w:rPr>
          <w:sz w:val="24"/>
          <w:szCs w:val="24"/>
        </w:rPr>
        <w:t xml:space="preserve"> doesn’t meet the legal criteria of maltre</w:t>
      </w:r>
      <w:r w:rsidR="00464D08">
        <w:rPr>
          <w:sz w:val="24"/>
          <w:szCs w:val="24"/>
        </w:rPr>
        <w:t xml:space="preserve">atment.  CACD states that they initially </w:t>
      </w:r>
      <w:r w:rsidR="00EC4B78">
        <w:rPr>
          <w:sz w:val="24"/>
          <w:szCs w:val="24"/>
        </w:rPr>
        <w:t xml:space="preserve">take some </w:t>
      </w:r>
      <w:r w:rsidR="00B153F3">
        <w:rPr>
          <w:sz w:val="24"/>
          <w:szCs w:val="24"/>
        </w:rPr>
        <w:t>abbreviated</w:t>
      </w:r>
      <w:r w:rsidR="00EC4B78">
        <w:rPr>
          <w:sz w:val="24"/>
          <w:szCs w:val="24"/>
        </w:rPr>
        <w:t xml:space="preserve"> information during peak call time to speed up response timeliness.  Additional information is taken later.</w:t>
      </w:r>
    </w:p>
    <w:p w14:paraId="3A1E047F" w14:textId="77777777" w:rsidR="00EC4B78" w:rsidRDefault="00EC4B78" w:rsidP="00D51C10">
      <w:pPr>
        <w:pStyle w:val="NoSpacing"/>
        <w:rPr>
          <w:sz w:val="24"/>
          <w:szCs w:val="24"/>
        </w:rPr>
      </w:pPr>
    </w:p>
    <w:p w14:paraId="2C9F554E" w14:textId="77777777" w:rsidR="00EC4B78" w:rsidRDefault="00EC4B78" w:rsidP="00D51C10">
      <w:pPr>
        <w:pStyle w:val="NoSpacing"/>
        <w:rPr>
          <w:sz w:val="24"/>
          <w:szCs w:val="24"/>
        </w:rPr>
      </w:pPr>
      <w:r>
        <w:rPr>
          <w:sz w:val="24"/>
          <w:szCs w:val="24"/>
        </w:rPr>
        <w:t>Among the recommendations of the report were:</w:t>
      </w:r>
    </w:p>
    <w:p w14:paraId="77984AA7" w14:textId="77777777" w:rsidR="00EC4B78" w:rsidRDefault="00EC4B78" w:rsidP="00D51C10">
      <w:pPr>
        <w:pStyle w:val="NoSpacing"/>
        <w:rPr>
          <w:sz w:val="24"/>
          <w:szCs w:val="24"/>
        </w:rPr>
      </w:pPr>
    </w:p>
    <w:p w14:paraId="2874E726" w14:textId="77777777" w:rsidR="00EC4B78" w:rsidRDefault="00EC4B78" w:rsidP="00F9598A">
      <w:pPr>
        <w:pStyle w:val="NoSpacing"/>
        <w:numPr>
          <w:ilvl w:val="0"/>
          <w:numId w:val="1"/>
        </w:numPr>
        <w:rPr>
          <w:sz w:val="24"/>
          <w:szCs w:val="24"/>
        </w:rPr>
      </w:pPr>
      <w:r>
        <w:rPr>
          <w:sz w:val="24"/>
          <w:szCs w:val="24"/>
        </w:rPr>
        <w:t>Train staff to interview callers with sufficient thoroughness that calls not meeting the legal standard aren’t unnecessarily accepted</w:t>
      </w:r>
    </w:p>
    <w:p w14:paraId="27D467A9" w14:textId="77777777" w:rsidR="00EC4B78" w:rsidRDefault="00877CD0" w:rsidP="00F9598A">
      <w:pPr>
        <w:pStyle w:val="NoSpacing"/>
        <w:numPr>
          <w:ilvl w:val="0"/>
          <w:numId w:val="1"/>
        </w:numPr>
        <w:rPr>
          <w:sz w:val="24"/>
          <w:szCs w:val="24"/>
        </w:rPr>
      </w:pPr>
      <w:r>
        <w:rPr>
          <w:sz w:val="24"/>
          <w:szCs w:val="24"/>
        </w:rPr>
        <w:t>Upgrade</w:t>
      </w:r>
      <w:r w:rsidR="00EC4B78">
        <w:rPr>
          <w:sz w:val="24"/>
          <w:szCs w:val="24"/>
        </w:rPr>
        <w:t xml:space="preserve"> the phone system to provide capacity to aut</w:t>
      </w:r>
      <w:r>
        <w:rPr>
          <w:sz w:val="24"/>
          <w:szCs w:val="24"/>
        </w:rPr>
        <w:t>omatically divert</w:t>
      </w:r>
      <w:r w:rsidR="00EC4B78">
        <w:rPr>
          <w:sz w:val="24"/>
          <w:szCs w:val="24"/>
        </w:rPr>
        <w:t xml:space="preserve"> miscellaneous callers to alternate resources</w:t>
      </w:r>
    </w:p>
    <w:p w14:paraId="1A99837B" w14:textId="77777777" w:rsidR="00877CD0" w:rsidRDefault="00877CD0" w:rsidP="00F9598A">
      <w:pPr>
        <w:pStyle w:val="NoSpacing"/>
        <w:numPr>
          <w:ilvl w:val="0"/>
          <w:numId w:val="1"/>
        </w:numPr>
        <w:rPr>
          <w:sz w:val="24"/>
          <w:szCs w:val="24"/>
        </w:rPr>
      </w:pPr>
      <w:r>
        <w:rPr>
          <w:sz w:val="24"/>
          <w:szCs w:val="24"/>
        </w:rPr>
        <w:t>Develop a more comprehensive QA process to include reviews of de</w:t>
      </w:r>
      <w:r w:rsidR="00F9598A">
        <w:rPr>
          <w:sz w:val="24"/>
          <w:szCs w:val="24"/>
        </w:rPr>
        <w:t>cision-making and documentation</w:t>
      </w:r>
    </w:p>
    <w:p w14:paraId="0E55CB4C" w14:textId="77777777" w:rsidR="00877CD0" w:rsidRDefault="00877CD0" w:rsidP="00D51C10">
      <w:pPr>
        <w:pStyle w:val="NoSpacing"/>
        <w:rPr>
          <w:sz w:val="24"/>
          <w:szCs w:val="24"/>
        </w:rPr>
      </w:pPr>
    </w:p>
    <w:p w14:paraId="0C64CC46" w14:textId="3FE557FC" w:rsidR="00877CD0" w:rsidRDefault="00877CD0" w:rsidP="00D51C10">
      <w:pPr>
        <w:pStyle w:val="NoSpacing"/>
        <w:rPr>
          <w:sz w:val="24"/>
          <w:szCs w:val="24"/>
        </w:rPr>
      </w:pPr>
      <w:r>
        <w:rPr>
          <w:sz w:val="24"/>
          <w:szCs w:val="24"/>
        </w:rPr>
        <w:t xml:space="preserve">In interviews with DCFS caseworkers and Hotline leadership, caseworkers’ main concern was the lack of complete information </w:t>
      </w:r>
      <w:r w:rsidR="00C34A5C">
        <w:rPr>
          <w:sz w:val="24"/>
          <w:szCs w:val="24"/>
        </w:rPr>
        <w:t xml:space="preserve">collected </w:t>
      </w:r>
      <w:r>
        <w:rPr>
          <w:sz w:val="24"/>
          <w:szCs w:val="24"/>
        </w:rPr>
        <w:t>about the allegation in some cases.  Hotline staff noted the need for additional staff, particularly at peak call times.  There are also circumstances where CACD investigators, having found serious risk and safety concerns in a case, may have to wait for several hours for a DCFS caseworker to arrive and arrange placement of a child.  High DCFS workloads are a factor in these delays.</w:t>
      </w:r>
    </w:p>
    <w:p w14:paraId="11FD4C9C" w14:textId="77777777" w:rsidR="00877CD0" w:rsidRDefault="00877CD0" w:rsidP="00D51C10">
      <w:pPr>
        <w:pStyle w:val="NoSpacing"/>
        <w:rPr>
          <w:sz w:val="24"/>
          <w:szCs w:val="24"/>
        </w:rPr>
      </w:pPr>
    </w:p>
    <w:p w14:paraId="3D70B279" w14:textId="77777777" w:rsidR="00700E8B" w:rsidRDefault="00877CD0" w:rsidP="00D51C10">
      <w:pPr>
        <w:pStyle w:val="NoSpacing"/>
        <w:rPr>
          <w:sz w:val="24"/>
          <w:szCs w:val="24"/>
        </w:rPr>
      </w:pPr>
      <w:r>
        <w:rPr>
          <w:sz w:val="24"/>
          <w:szCs w:val="24"/>
        </w:rPr>
        <w:t>Basically, there is evidence that despite the bifurcated structure, the two agencies work well together and that the CACD functions effectively in receiving and classifying calls and investigating Priority I cases.</w:t>
      </w:r>
    </w:p>
    <w:p w14:paraId="60419761" w14:textId="77777777" w:rsidR="00464D08" w:rsidRPr="00700E8B" w:rsidRDefault="00464D08" w:rsidP="00D51C10">
      <w:pPr>
        <w:pStyle w:val="NoSpacing"/>
        <w:rPr>
          <w:b/>
          <w:i/>
          <w:color w:val="FF0000"/>
          <w:sz w:val="24"/>
          <w:szCs w:val="24"/>
        </w:rPr>
      </w:pPr>
    </w:p>
    <w:p w14:paraId="4A3BBB52" w14:textId="77777777" w:rsidR="00CB4A1B" w:rsidRDefault="00CB4A1B" w:rsidP="00CB4A1B">
      <w:pPr>
        <w:pStyle w:val="NoSpacing"/>
        <w:rPr>
          <w:b/>
          <w:i/>
          <w:sz w:val="24"/>
          <w:szCs w:val="24"/>
        </w:rPr>
      </w:pPr>
      <w:r w:rsidRPr="005D1BB3">
        <w:rPr>
          <w:b/>
          <w:i/>
          <w:sz w:val="24"/>
          <w:szCs w:val="24"/>
        </w:rPr>
        <w:t>Percent of True DCFS Reports</w:t>
      </w:r>
    </w:p>
    <w:p w14:paraId="03318851" w14:textId="77777777" w:rsidR="00E358B7" w:rsidRDefault="00E358B7" w:rsidP="00CB4A1B">
      <w:pPr>
        <w:pStyle w:val="NoSpacing"/>
        <w:rPr>
          <w:sz w:val="24"/>
          <w:szCs w:val="24"/>
        </w:rPr>
      </w:pPr>
    </w:p>
    <w:p w14:paraId="708E12A0" w14:textId="77777777" w:rsidR="00596484" w:rsidRDefault="00596484" w:rsidP="00596484">
      <w:pPr>
        <w:pStyle w:val="NoSpacing"/>
        <w:rPr>
          <w:sz w:val="24"/>
          <w:szCs w:val="24"/>
        </w:rPr>
      </w:pPr>
      <w:r w:rsidRPr="005D1BB3">
        <w:rPr>
          <w:sz w:val="24"/>
          <w:szCs w:val="24"/>
        </w:rPr>
        <w:t>2</w:t>
      </w:r>
      <w:r w:rsidRPr="005D1BB3">
        <w:rPr>
          <w:sz w:val="24"/>
          <w:szCs w:val="24"/>
          <w:vertAlign w:val="superscript"/>
        </w:rPr>
        <w:t>nd</w:t>
      </w:r>
      <w:r>
        <w:rPr>
          <w:sz w:val="24"/>
          <w:szCs w:val="24"/>
        </w:rPr>
        <w:t xml:space="preserve"> Qtr SFY 2011</w:t>
      </w:r>
      <w:r w:rsidRPr="005D1BB3">
        <w:rPr>
          <w:sz w:val="24"/>
          <w:szCs w:val="24"/>
        </w:rPr>
        <w:t xml:space="preserve"> </w:t>
      </w:r>
      <w:r>
        <w:rPr>
          <w:sz w:val="24"/>
          <w:szCs w:val="24"/>
        </w:rPr>
        <w:t>– 26%</w:t>
      </w:r>
    </w:p>
    <w:p w14:paraId="156D7C2A" w14:textId="77777777" w:rsidR="00596484" w:rsidRDefault="00596484" w:rsidP="00596484">
      <w:pPr>
        <w:pStyle w:val="NoSpacing"/>
        <w:rPr>
          <w:sz w:val="24"/>
          <w:szCs w:val="24"/>
        </w:rPr>
      </w:pPr>
      <w:r w:rsidRPr="005D1BB3">
        <w:rPr>
          <w:sz w:val="24"/>
          <w:szCs w:val="24"/>
        </w:rPr>
        <w:t>2</w:t>
      </w:r>
      <w:r w:rsidRPr="005D1BB3">
        <w:rPr>
          <w:sz w:val="24"/>
          <w:szCs w:val="24"/>
          <w:vertAlign w:val="superscript"/>
        </w:rPr>
        <w:t>nd</w:t>
      </w:r>
      <w:r>
        <w:rPr>
          <w:sz w:val="24"/>
          <w:szCs w:val="24"/>
        </w:rPr>
        <w:t xml:space="preserve"> Qtr SFY 2012</w:t>
      </w:r>
      <w:r w:rsidRPr="005D1BB3">
        <w:rPr>
          <w:sz w:val="24"/>
          <w:szCs w:val="24"/>
        </w:rPr>
        <w:t xml:space="preserve"> </w:t>
      </w:r>
      <w:r>
        <w:rPr>
          <w:sz w:val="24"/>
          <w:szCs w:val="24"/>
        </w:rPr>
        <w:t>– 21%</w:t>
      </w:r>
    </w:p>
    <w:p w14:paraId="24410A70" w14:textId="77777777" w:rsidR="00596484" w:rsidRPr="005D1BB3" w:rsidRDefault="00596484" w:rsidP="00596484">
      <w:pPr>
        <w:pStyle w:val="NoSpacing"/>
        <w:rPr>
          <w:sz w:val="24"/>
          <w:szCs w:val="24"/>
        </w:rPr>
      </w:pPr>
      <w:r w:rsidRPr="005D1BB3">
        <w:rPr>
          <w:sz w:val="24"/>
          <w:szCs w:val="24"/>
        </w:rPr>
        <w:t>2</w:t>
      </w:r>
      <w:r w:rsidRPr="005D1BB3">
        <w:rPr>
          <w:sz w:val="24"/>
          <w:szCs w:val="24"/>
          <w:vertAlign w:val="superscript"/>
        </w:rPr>
        <w:t>nd</w:t>
      </w:r>
      <w:r>
        <w:rPr>
          <w:sz w:val="24"/>
          <w:szCs w:val="24"/>
        </w:rPr>
        <w:t xml:space="preserve"> Qtr SFY 2013 – 20%</w:t>
      </w:r>
    </w:p>
    <w:p w14:paraId="6E3A207C" w14:textId="77777777" w:rsidR="00596484" w:rsidRPr="005D1BB3" w:rsidRDefault="00596484" w:rsidP="00596484">
      <w:pPr>
        <w:pStyle w:val="NoSpacing"/>
        <w:rPr>
          <w:sz w:val="24"/>
          <w:szCs w:val="24"/>
        </w:rPr>
      </w:pPr>
      <w:r w:rsidRPr="005D1BB3">
        <w:rPr>
          <w:sz w:val="24"/>
          <w:szCs w:val="24"/>
        </w:rPr>
        <w:t>2</w:t>
      </w:r>
      <w:r w:rsidRPr="005D1BB3">
        <w:rPr>
          <w:sz w:val="24"/>
          <w:szCs w:val="24"/>
          <w:vertAlign w:val="superscript"/>
        </w:rPr>
        <w:t>nd</w:t>
      </w:r>
      <w:r w:rsidRPr="005D1BB3">
        <w:rPr>
          <w:sz w:val="24"/>
          <w:szCs w:val="24"/>
        </w:rPr>
        <w:t xml:space="preserve"> Qtr SFY 2014 </w:t>
      </w:r>
      <w:r>
        <w:rPr>
          <w:sz w:val="24"/>
          <w:szCs w:val="24"/>
        </w:rPr>
        <w:t>– 23%</w:t>
      </w:r>
    </w:p>
    <w:p w14:paraId="46FD1EEC" w14:textId="77777777" w:rsidR="00596484" w:rsidRDefault="00596484" w:rsidP="00596484">
      <w:pPr>
        <w:pStyle w:val="NoSpacing"/>
        <w:rPr>
          <w:sz w:val="24"/>
          <w:szCs w:val="24"/>
        </w:rPr>
      </w:pPr>
      <w:r w:rsidRPr="005D1BB3">
        <w:rPr>
          <w:sz w:val="24"/>
          <w:szCs w:val="24"/>
        </w:rPr>
        <w:t>2</w:t>
      </w:r>
      <w:r w:rsidRPr="005D1BB3">
        <w:rPr>
          <w:sz w:val="24"/>
          <w:szCs w:val="24"/>
          <w:vertAlign w:val="superscript"/>
        </w:rPr>
        <w:t>nd</w:t>
      </w:r>
      <w:r>
        <w:rPr>
          <w:sz w:val="24"/>
          <w:szCs w:val="24"/>
        </w:rPr>
        <w:t xml:space="preserve"> Qtr SFY 2015 – 19%</w:t>
      </w:r>
    </w:p>
    <w:p w14:paraId="2BF85C0A" w14:textId="77777777" w:rsidR="008B28E7" w:rsidRDefault="008B28E7" w:rsidP="00596484">
      <w:pPr>
        <w:pStyle w:val="NoSpacing"/>
        <w:rPr>
          <w:sz w:val="24"/>
          <w:szCs w:val="24"/>
        </w:rPr>
      </w:pPr>
    </w:p>
    <w:p w14:paraId="49DA2DC7" w14:textId="020781AF" w:rsidR="00854A09" w:rsidRPr="00854A09" w:rsidRDefault="00854A09" w:rsidP="00854A09">
      <w:pPr>
        <w:pStyle w:val="NoSpacing"/>
        <w:rPr>
          <w:sz w:val="24"/>
          <w:szCs w:val="24"/>
        </w:rPr>
      </w:pPr>
      <w:r>
        <w:rPr>
          <w:sz w:val="24"/>
          <w:szCs w:val="24"/>
        </w:rPr>
        <w:t xml:space="preserve">To compare the percentage of Arkansas’ true reports with national data, according to the Children’s Bureau publication </w:t>
      </w:r>
      <w:r w:rsidRPr="00464D08">
        <w:rPr>
          <w:i/>
          <w:sz w:val="24"/>
          <w:szCs w:val="24"/>
        </w:rPr>
        <w:t>Child Maltreatment 2013</w:t>
      </w:r>
      <w:r>
        <w:rPr>
          <w:sz w:val="24"/>
          <w:szCs w:val="24"/>
        </w:rPr>
        <w:t>, “</w:t>
      </w:r>
      <w:r w:rsidRPr="00854A09">
        <w:rPr>
          <w:rFonts w:cs="Minion Pro"/>
          <w:i/>
          <w:color w:val="000000"/>
          <w:sz w:val="24"/>
          <w:szCs w:val="24"/>
        </w:rPr>
        <w:t>For FFY 2013, approximately 3.9 million children were the subjects of at least one report (screened-in referral). A child may be a victim in one report and a nonvictim in another report and in this analysis, the child would be counted both times. One-fifth of these children were found to be victims with dispositions of substantiated (17.5%), indicated (0.9%), and alternative response victim (0.4%). The remaining four-fifths of the children were found to be nonvictims of maltreatment.</w:t>
      </w:r>
      <w:r>
        <w:rPr>
          <w:rFonts w:cs="Minion Pro"/>
          <w:i/>
          <w:color w:val="000000"/>
          <w:sz w:val="24"/>
          <w:szCs w:val="24"/>
        </w:rPr>
        <w:t>”</w:t>
      </w:r>
    </w:p>
    <w:p w14:paraId="5C6D4559" w14:textId="77777777" w:rsidR="00C34A5C" w:rsidRDefault="00C34A5C" w:rsidP="00596484">
      <w:pPr>
        <w:pStyle w:val="NoSpacing"/>
        <w:rPr>
          <w:sz w:val="24"/>
          <w:szCs w:val="24"/>
        </w:rPr>
      </w:pPr>
    </w:p>
    <w:p w14:paraId="670A4943" w14:textId="10A978B1" w:rsidR="00C34A5C" w:rsidRPr="005D1BB3" w:rsidRDefault="00C34A5C" w:rsidP="00596484">
      <w:pPr>
        <w:pStyle w:val="NoSpacing"/>
        <w:rPr>
          <w:sz w:val="24"/>
          <w:szCs w:val="24"/>
        </w:rPr>
      </w:pPr>
      <w:r>
        <w:rPr>
          <w:sz w:val="24"/>
          <w:szCs w:val="24"/>
        </w:rPr>
        <w:t>The percentage of true findings has declined somewhat in recent years.</w:t>
      </w:r>
    </w:p>
    <w:p w14:paraId="1FBF3894" w14:textId="77777777" w:rsidR="00596484" w:rsidRPr="005D1BB3" w:rsidRDefault="00596484" w:rsidP="00CB4A1B">
      <w:pPr>
        <w:pStyle w:val="NoSpacing"/>
        <w:rPr>
          <w:sz w:val="24"/>
          <w:szCs w:val="24"/>
        </w:rPr>
      </w:pPr>
    </w:p>
    <w:p w14:paraId="05EA5352" w14:textId="77777777" w:rsidR="00CB4A1B" w:rsidRDefault="000D303D" w:rsidP="00CB4A1B">
      <w:pPr>
        <w:pStyle w:val="NoSpacing"/>
        <w:rPr>
          <w:b/>
          <w:i/>
          <w:sz w:val="24"/>
          <w:szCs w:val="24"/>
        </w:rPr>
      </w:pPr>
      <w:r w:rsidRPr="005D1BB3">
        <w:rPr>
          <w:b/>
          <w:i/>
          <w:sz w:val="24"/>
          <w:szCs w:val="24"/>
        </w:rPr>
        <w:t>Timely Initiation</w:t>
      </w:r>
      <w:r w:rsidR="00CB4A1B" w:rsidRPr="005D1BB3">
        <w:rPr>
          <w:b/>
          <w:i/>
          <w:sz w:val="24"/>
          <w:szCs w:val="24"/>
        </w:rPr>
        <w:t xml:space="preserve"> of </w:t>
      </w:r>
      <w:r w:rsidRPr="005D1BB3">
        <w:rPr>
          <w:b/>
          <w:i/>
          <w:sz w:val="24"/>
          <w:szCs w:val="24"/>
        </w:rPr>
        <w:t xml:space="preserve">DCFS </w:t>
      </w:r>
      <w:r w:rsidR="009C3C15">
        <w:rPr>
          <w:b/>
          <w:i/>
          <w:sz w:val="24"/>
          <w:szCs w:val="24"/>
        </w:rPr>
        <w:t>Child Maltreatment Investigations</w:t>
      </w:r>
    </w:p>
    <w:p w14:paraId="098B2432" w14:textId="77777777" w:rsidR="009C3C15" w:rsidRDefault="009C3C15" w:rsidP="00CB4A1B">
      <w:pPr>
        <w:pStyle w:val="NoSpacing"/>
        <w:rPr>
          <w:b/>
          <w:i/>
          <w:sz w:val="24"/>
          <w:szCs w:val="24"/>
        </w:rPr>
      </w:pPr>
    </w:p>
    <w:p w14:paraId="39F83681" w14:textId="07C0B75D" w:rsidR="009C3C15" w:rsidRPr="007F67B1" w:rsidRDefault="009C3C15" w:rsidP="009C3C15">
      <w:pPr>
        <w:pStyle w:val="NoSpacing"/>
        <w:rPr>
          <w:sz w:val="24"/>
          <w:szCs w:val="24"/>
        </w:rPr>
      </w:pPr>
      <w:r>
        <w:rPr>
          <w:sz w:val="24"/>
          <w:szCs w:val="24"/>
        </w:rPr>
        <w:t>As shown below, response times for the 2</w:t>
      </w:r>
      <w:r w:rsidRPr="009C3C15">
        <w:rPr>
          <w:sz w:val="24"/>
          <w:szCs w:val="24"/>
          <w:vertAlign w:val="superscript"/>
        </w:rPr>
        <w:t>nd</w:t>
      </w:r>
      <w:r>
        <w:rPr>
          <w:sz w:val="24"/>
          <w:szCs w:val="24"/>
        </w:rPr>
        <w:t xml:space="preserve"> quarter of past years have clustered between 80-90 percent timely.  </w:t>
      </w:r>
      <w:r w:rsidR="007F67B1" w:rsidRPr="007F67B1">
        <w:rPr>
          <w:sz w:val="24"/>
          <w:szCs w:val="24"/>
        </w:rPr>
        <w:t>Priority I</w:t>
      </w:r>
      <w:r w:rsidR="007F67B1">
        <w:rPr>
          <w:sz w:val="24"/>
          <w:szCs w:val="24"/>
        </w:rPr>
        <w:t xml:space="preserve"> has declined somewhat and Priority II has remained fairly stable.  Re</w:t>
      </w:r>
      <w:r w:rsidR="00C34A5C">
        <w:rPr>
          <w:sz w:val="24"/>
          <w:szCs w:val="24"/>
        </w:rPr>
        <w:t>sponse times for DR are lower.</w:t>
      </w:r>
    </w:p>
    <w:p w14:paraId="024FD061" w14:textId="77777777" w:rsidR="009C3C15" w:rsidRPr="005D1BB3" w:rsidRDefault="009C3C15" w:rsidP="00CB4A1B">
      <w:pPr>
        <w:pStyle w:val="NoSpacing"/>
        <w:rPr>
          <w:sz w:val="24"/>
          <w:szCs w:val="24"/>
        </w:rPr>
      </w:pPr>
    </w:p>
    <w:p w14:paraId="4AF9C0BA" w14:textId="77777777" w:rsidR="002C4AD5" w:rsidRDefault="000D303D" w:rsidP="00CB4A1B">
      <w:pPr>
        <w:pStyle w:val="NoSpacing"/>
        <w:rPr>
          <w:sz w:val="24"/>
          <w:szCs w:val="24"/>
        </w:rPr>
      </w:pPr>
      <w:r w:rsidRPr="005D1BB3">
        <w:rPr>
          <w:sz w:val="24"/>
          <w:szCs w:val="24"/>
        </w:rPr>
        <w:t>Priority I</w:t>
      </w:r>
      <w:r w:rsidR="00CB4A1B" w:rsidRPr="005D1BB3">
        <w:rPr>
          <w:sz w:val="24"/>
          <w:szCs w:val="24"/>
        </w:rPr>
        <w:t xml:space="preserve"> </w:t>
      </w:r>
      <w:r w:rsidRPr="005D1BB3">
        <w:rPr>
          <w:sz w:val="24"/>
          <w:szCs w:val="24"/>
        </w:rPr>
        <w:t>(Within 24 Hours)</w:t>
      </w:r>
      <w:r w:rsidR="00CB4A1B" w:rsidRPr="005D1BB3">
        <w:rPr>
          <w:sz w:val="24"/>
          <w:szCs w:val="24"/>
        </w:rPr>
        <w:t xml:space="preserve">                       </w:t>
      </w:r>
      <w:r w:rsidRPr="005D1BB3">
        <w:rPr>
          <w:sz w:val="24"/>
          <w:szCs w:val="24"/>
        </w:rPr>
        <w:t>Pr</w:t>
      </w:r>
      <w:r w:rsidR="00CB4A1B" w:rsidRPr="005D1BB3">
        <w:rPr>
          <w:sz w:val="24"/>
          <w:szCs w:val="24"/>
        </w:rPr>
        <w:t>iority</w:t>
      </w:r>
      <w:r w:rsidRPr="005D1BB3">
        <w:rPr>
          <w:sz w:val="24"/>
          <w:szCs w:val="24"/>
        </w:rPr>
        <w:t xml:space="preserve"> II (Within 72 Hours)</w:t>
      </w:r>
    </w:p>
    <w:p w14:paraId="6A636ED8" w14:textId="77777777" w:rsidR="00596484" w:rsidRDefault="00596484" w:rsidP="00596484">
      <w:pPr>
        <w:pStyle w:val="NoSpacing"/>
        <w:rPr>
          <w:sz w:val="24"/>
          <w:szCs w:val="24"/>
        </w:rPr>
      </w:pPr>
      <w:r w:rsidRPr="005D1BB3">
        <w:rPr>
          <w:sz w:val="24"/>
          <w:szCs w:val="24"/>
        </w:rPr>
        <w:t>2</w:t>
      </w:r>
      <w:r w:rsidRPr="005D1BB3">
        <w:rPr>
          <w:sz w:val="24"/>
          <w:szCs w:val="24"/>
          <w:vertAlign w:val="superscript"/>
        </w:rPr>
        <w:t>nd</w:t>
      </w:r>
      <w:r>
        <w:rPr>
          <w:sz w:val="24"/>
          <w:szCs w:val="24"/>
        </w:rPr>
        <w:t xml:space="preserve"> Qtr SFY 2011</w:t>
      </w:r>
      <w:r w:rsidRPr="005D1BB3">
        <w:rPr>
          <w:sz w:val="24"/>
          <w:szCs w:val="24"/>
        </w:rPr>
        <w:t xml:space="preserve"> </w:t>
      </w:r>
      <w:r>
        <w:rPr>
          <w:sz w:val="24"/>
          <w:szCs w:val="24"/>
        </w:rPr>
        <w:t>– 94%</w:t>
      </w:r>
      <w:r>
        <w:rPr>
          <w:sz w:val="24"/>
          <w:szCs w:val="24"/>
        </w:rPr>
        <w:tab/>
      </w:r>
      <w:r>
        <w:rPr>
          <w:sz w:val="24"/>
          <w:szCs w:val="24"/>
        </w:rPr>
        <w:tab/>
      </w:r>
      <w:r>
        <w:rPr>
          <w:sz w:val="24"/>
          <w:szCs w:val="24"/>
        </w:rPr>
        <w:tab/>
      </w:r>
      <w:r w:rsidRPr="005D1BB3">
        <w:rPr>
          <w:sz w:val="24"/>
          <w:szCs w:val="24"/>
        </w:rPr>
        <w:t>2</w:t>
      </w:r>
      <w:r w:rsidRPr="005D1BB3">
        <w:rPr>
          <w:sz w:val="24"/>
          <w:szCs w:val="24"/>
          <w:vertAlign w:val="superscript"/>
        </w:rPr>
        <w:t>nd</w:t>
      </w:r>
      <w:r>
        <w:rPr>
          <w:sz w:val="24"/>
          <w:szCs w:val="24"/>
        </w:rPr>
        <w:t xml:space="preserve"> Qtr SFY 2011</w:t>
      </w:r>
      <w:r w:rsidRPr="005D1BB3">
        <w:rPr>
          <w:sz w:val="24"/>
          <w:szCs w:val="24"/>
        </w:rPr>
        <w:t xml:space="preserve"> </w:t>
      </w:r>
      <w:r>
        <w:rPr>
          <w:sz w:val="24"/>
          <w:szCs w:val="24"/>
        </w:rPr>
        <w:t>– 83%</w:t>
      </w:r>
    </w:p>
    <w:p w14:paraId="03A04C0F" w14:textId="77777777" w:rsidR="00596484" w:rsidRDefault="00596484" w:rsidP="00596484">
      <w:pPr>
        <w:pStyle w:val="NoSpacing"/>
        <w:rPr>
          <w:sz w:val="24"/>
          <w:szCs w:val="24"/>
        </w:rPr>
      </w:pPr>
      <w:r w:rsidRPr="005D1BB3">
        <w:rPr>
          <w:sz w:val="24"/>
          <w:szCs w:val="24"/>
        </w:rPr>
        <w:t>2</w:t>
      </w:r>
      <w:r w:rsidRPr="005D1BB3">
        <w:rPr>
          <w:sz w:val="24"/>
          <w:szCs w:val="24"/>
          <w:vertAlign w:val="superscript"/>
        </w:rPr>
        <w:t>nd</w:t>
      </w:r>
      <w:r>
        <w:rPr>
          <w:sz w:val="24"/>
          <w:szCs w:val="24"/>
        </w:rPr>
        <w:t xml:space="preserve"> Qtr SFY 2012</w:t>
      </w:r>
      <w:r w:rsidRPr="005D1BB3">
        <w:rPr>
          <w:sz w:val="24"/>
          <w:szCs w:val="24"/>
        </w:rPr>
        <w:t xml:space="preserve"> </w:t>
      </w:r>
      <w:r>
        <w:rPr>
          <w:sz w:val="24"/>
          <w:szCs w:val="24"/>
        </w:rPr>
        <w:t>– 96%</w:t>
      </w:r>
      <w:r>
        <w:rPr>
          <w:sz w:val="24"/>
          <w:szCs w:val="24"/>
        </w:rPr>
        <w:tab/>
      </w:r>
      <w:r>
        <w:rPr>
          <w:sz w:val="24"/>
          <w:szCs w:val="24"/>
        </w:rPr>
        <w:tab/>
      </w:r>
      <w:r>
        <w:rPr>
          <w:sz w:val="24"/>
          <w:szCs w:val="24"/>
        </w:rPr>
        <w:tab/>
      </w:r>
      <w:r w:rsidRPr="005D1BB3">
        <w:rPr>
          <w:sz w:val="24"/>
          <w:szCs w:val="24"/>
        </w:rPr>
        <w:t>2</w:t>
      </w:r>
      <w:r w:rsidRPr="005D1BB3">
        <w:rPr>
          <w:sz w:val="24"/>
          <w:szCs w:val="24"/>
          <w:vertAlign w:val="superscript"/>
        </w:rPr>
        <w:t>nd</w:t>
      </w:r>
      <w:r>
        <w:rPr>
          <w:sz w:val="24"/>
          <w:szCs w:val="24"/>
        </w:rPr>
        <w:t xml:space="preserve"> Qtr SFY 2012</w:t>
      </w:r>
      <w:r w:rsidRPr="005D1BB3">
        <w:rPr>
          <w:sz w:val="24"/>
          <w:szCs w:val="24"/>
        </w:rPr>
        <w:t xml:space="preserve"> </w:t>
      </w:r>
      <w:r>
        <w:rPr>
          <w:sz w:val="24"/>
          <w:szCs w:val="24"/>
        </w:rPr>
        <w:t>– 85%</w:t>
      </w:r>
      <w:r>
        <w:rPr>
          <w:sz w:val="24"/>
          <w:szCs w:val="24"/>
        </w:rPr>
        <w:tab/>
      </w:r>
      <w:r>
        <w:rPr>
          <w:sz w:val="24"/>
          <w:szCs w:val="24"/>
        </w:rPr>
        <w:tab/>
      </w:r>
      <w:r>
        <w:rPr>
          <w:sz w:val="24"/>
          <w:szCs w:val="24"/>
        </w:rPr>
        <w:tab/>
      </w:r>
      <w:r>
        <w:rPr>
          <w:sz w:val="24"/>
          <w:szCs w:val="24"/>
        </w:rPr>
        <w:tab/>
      </w:r>
    </w:p>
    <w:p w14:paraId="37928B08" w14:textId="77777777" w:rsidR="00596484" w:rsidRPr="005D1BB3" w:rsidRDefault="00596484" w:rsidP="00596484">
      <w:pPr>
        <w:pStyle w:val="NoSpacing"/>
        <w:rPr>
          <w:sz w:val="24"/>
          <w:szCs w:val="24"/>
        </w:rPr>
      </w:pPr>
      <w:r w:rsidRPr="005D1BB3">
        <w:rPr>
          <w:sz w:val="24"/>
          <w:szCs w:val="24"/>
        </w:rPr>
        <w:t>2</w:t>
      </w:r>
      <w:r w:rsidRPr="005D1BB3">
        <w:rPr>
          <w:sz w:val="24"/>
          <w:szCs w:val="24"/>
          <w:vertAlign w:val="superscript"/>
        </w:rPr>
        <w:t>nd</w:t>
      </w:r>
      <w:r w:rsidRPr="005D1BB3">
        <w:rPr>
          <w:sz w:val="24"/>
          <w:szCs w:val="24"/>
        </w:rPr>
        <w:t xml:space="preserve"> Qtr SFY 2013 </w:t>
      </w:r>
      <w:r>
        <w:rPr>
          <w:sz w:val="24"/>
          <w:szCs w:val="24"/>
        </w:rPr>
        <w:t>– 92%</w:t>
      </w:r>
      <w:r w:rsidRPr="005D1BB3">
        <w:rPr>
          <w:sz w:val="24"/>
          <w:szCs w:val="24"/>
        </w:rPr>
        <w:t xml:space="preserve">                                     </w:t>
      </w:r>
      <w:r>
        <w:rPr>
          <w:sz w:val="24"/>
          <w:szCs w:val="24"/>
        </w:rPr>
        <w:t xml:space="preserve"> </w:t>
      </w:r>
      <w:r w:rsidRPr="005D1BB3">
        <w:rPr>
          <w:sz w:val="24"/>
          <w:szCs w:val="24"/>
        </w:rPr>
        <w:t>2</w:t>
      </w:r>
      <w:r w:rsidRPr="005D1BB3">
        <w:rPr>
          <w:sz w:val="24"/>
          <w:szCs w:val="24"/>
          <w:vertAlign w:val="superscript"/>
        </w:rPr>
        <w:t>nd</w:t>
      </w:r>
      <w:r w:rsidRPr="005D1BB3">
        <w:rPr>
          <w:sz w:val="24"/>
          <w:szCs w:val="24"/>
        </w:rPr>
        <w:t xml:space="preserve"> Qtr SFY 2013 </w:t>
      </w:r>
      <w:r>
        <w:rPr>
          <w:sz w:val="24"/>
          <w:szCs w:val="24"/>
        </w:rPr>
        <w:t>–</w:t>
      </w:r>
      <w:r w:rsidRPr="005D1BB3">
        <w:rPr>
          <w:sz w:val="24"/>
          <w:szCs w:val="24"/>
        </w:rPr>
        <w:t xml:space="preserve"> </w:t>
      </w:r>
      <w:r>
        <w:rPr>
          <w:sz w:val="24"/>
          <w:szCs w:val="24"/>
        </w:rPr>
        <w:t>81%</w:t>
      </w:r>
    </w:p>
    <w:p w14:paraId="0BEC727F" w14:textId="77777777" w:rsidR="00596484" w:rsidRPr="005D1BB3" w:rsidRDefault="00596484" w:rsidP="00596484">
      <w:pPr>
        <w:pStyle w:val="NoSpacing"/>
        <w:rPr>
          <w:sz w:val="24"/>
          <w:szCs w:val="24"/>
        </w:rPr>
      </w:pPr>
      <w:r w:rsidRPr="005D1BB3">
        <w:rPr>
          <w:sz w:val="24"/>
          <w:szCs w:val="24"/>
        </w:rPr>
        <w:t>2</w:t>
      </w:r>
      <w:r w:rsidRPr="005D1BB3">
        <w:rPr>
          <w:sz w:val="24"/>
          <w:szCs w:val="24"/>
          <w:vertAlign w:val="superscript"/>
        </w:rPr>
        <w:t>nd</w:t>
      </w:r>
      <w:r w:rsidRPr="005D1BB3">
        <w:rPr>
          <w:sz w:val="24"/>
          <w:szCs w:val="24"/>
        </w:rPr>
        <w:t xml:space="preserve"> Qtr SFY 2014 </w:t>
      </w:r>
      <w:r>
        <w:rPr>
          <w:sz w:val="24"/>
          <w:szCs w:val="24"/>
        </w:rPr>
        <w:t>–</w:t>
      </w:r>
      <w:r w:rsidRPr="005D1BB3">
        <w:rPr>
          <w:sz w:val="24"/>
          <w:szCs w:val="24"/>
        </w:rPr>
        <w:t xml:space="preserve"> </w:t>
      </w:r>
      <w:r>
        <w:rPr>
          <w:sz w:val="24"/>
          <w:szCs w:val="24"/>
        </w:rPr>
        <w:t>83%</w:t>
      </w:r>
      <w:r w:rsidRPr="005D1BB3">
        <w:rPr>
          <w:sz w:val="24"/>
          <w:szCs w:val="24"/>
        </w:rPr>
        <w:t xml:space="preserve">                                     </w:t>
      </w:r>
      <w:r>
        <w:rPr>
          <w:sz w:val="24"/>
          <w:szCs w:val="24"/>
        </w:rPr>
        <w:t xml:space="preserve"> </w:t>
      </w:r>
      <w:r w:rsidRPr="005D1BB3">
        <w:rPr>
          <w:sz w:val="24"/>
          <w:szCs w:val="24"/>
        </w:rPr>
        <w:t>2</w:t>
      </w:r>
      <w:r w:rsidRPr="005D1BB3">
        <w:rPr>
          <w:sz w:val="24"/>
          <w:szCs w:val="24"/>
          <w:vertAlign w:val="superscript"/>
        </w:rPr>
        <w:t>nd</w:t>
      </w:r>
      <w:r w:rsidRPr="005D1BB3">
        <w:rPr>
          <w:sz w:val="24"/>
          <w:szCs w:val="24"/>
        </w:rPr>
        <w:t xml:space="preserve"> Qtr SFY 2014 </w:t>
      </w:r>
      <w:r>
        <w:rPr>
          <w:sz w:val="24"/>
          <w:szCs w:val="24"/>
        </w:rPr>
        <w:t>– 77% (DR – 74%)</w:t>
      </w:r>
    </w:p>
    <w:p w14:paraId="08F13BA5" w14:textId="77777777" w:rsidR="00596484" w:rsidRPr="005D1BB3" w:rsidRDefault="00596484" w:rsidP="00596484">
      <w:pPr>
        <w:pStyle w:val="NoSpacing"/>
        <w:rPr>
          <w:sz w:val="24"/>
          <w:szCs w:val="24"/>
        </w:rPr>
      </w:pPr>
      <w:r w:rsidRPr="005D1BB3">
        <w:rPr>
          <w:sz w:val="24"/>
          <w:szCs w:val="24"/>
        </w:rPr>
        <w:t>2</w:t>
      </w:r>
      <w:r w:rsidRPr="005D1BB3">
        <w:rPr>
          <w:sz w:val="24"/>
          <w:szCs w:val="24"/>
          <w:vertAlign w:val="superscript"/>
        </w:rPr>
        <w:t>nd</w:t>
      </w:r>
      <w:r w:rsidRPr="005D1BB3">
        <w:rPr>
          <w:sz w:val="24"/>
          <w:szCs w:val="24"/>
        </w:rPr>
        <w:t xml:space="preserve"> Qtr SFY 2015 </w:t>
      </w:r>
      <w:r>
        <w:rPr>
          <w:sz w:val="24"/>
          <w:szCs w:val="24"/>
        </w:rPr>
        <w:t>–</w:t>
      </w:r>
      <w:r w:rsidRPr="005D1BB3">
        <w:rPr>
          <w:sz w:val="24"/>
          <w:szCs w:val="24"/>
        </w:rPr>
        <w:t xml:space="preserve"> </w:t>
      </w:r>
      <w:r>
        <w:rPr>
          <w:sz w:val="24"/>
          <w:szCs w:val="24"/>
        </w:rPr>
        <w:t>86%</w:t>
      </w:r>
      <w:r w:rsidRPr="005D1BB3">
        <w:rPr>
          <w:sz w:val="24"/>
          <w:szCs w:val="24"/>
        </w:rPr>
        <w:t xml:space="preserve">                                     </w:t>
      </w:r>
      <w:r>
        <w:rPr>
          <w:sz w:val="24"/>
          <w:szCs w:val="24"/>
        </w:rPr>
        <w:t xml:space="preserve"> </w:t>
      </w:r>
      <w:r w:rsidRPr="005D1BB3">
        <w:rPr>
          <w:sz w:val="24"/>
          <w:szCs w:val="24"/>
        </w:rPr>
        <w:t>2</w:t>
      </w:r>
      <w:r w:rsidRPr="005D1BB3">
        <w:rPr>
          <w:sz w:val="24"/>
          <w:szCs w:val="24"/>
          <w:vertAlign w:val="superscript"/>
        </w:rPr>
        <w:t>nd</w:t>
      </w:r>
      <w:r>
        <w:rPr>
          <w:sz w:val="24"/>
          <w:szCs w:val="24"/>
        </w:rPr>
        <w:t xml:space="preserve"> Qtr SFY 2015 – 85% (DR – 66%)</w:t>
      </w:r>
    </w:p>
    <w:p w14:paraId="29F09A00" w14:textId="77777777" w:rsidR="000D303D" w:rsidRPr="005D1BB3" w:rsidRDefault="000D303D" w:rsidP="000D303D">
      <w:pPr>
        <w:pStyle w:val="NoSpacing"/>
        <w:rPr>
          <w:sz w:val="24"/>
          <w:szCs w:val="24"/>
        </w:rPr>
      </w:pPr>
    </w:p>
    <w:p w14:paraId="0E50BB49" w14:textId="77777777" w:rsidR="000D303D" w:rsidRDefault="000D303D" w:rsidP="000D303D">
      <w:pPr>
        <w:pStyle w:val="NoSpacing"/>
        <w:rPr>
          <w:b/>
          <w:i/>
          <w:sz w:val="24"/>
          <w:szCs w:val="24"/>
        </w:rPr>
      </w:pPr>
      <w:r w:rsidRPr="005D1BB3">
        <w:rPr>
          <w:b/>
          <w:i/>
          <w:sz w:val="24"/>
          <w:szCs w:val="24"/>
        </w:rPr>
        <w:t>Timely Completion of DCF</w:t>
      </w:r>
      <w:r w:rsidR="009C3C15">
        <w:rPr>
          <w:b/>
          <w:i/>
          <w:sz w:val="24"/>
          <w:szCs w:val="24"/>
        </w:rPr>
        <w:t>S Child Maltreatment Investigations</w:t>
      </w:r>
    </w:p>
    <w:p w14:paraId="4A2D855C" w14:textId="77777777" w:rsidR="009C3C15" w:rsidRDefault="009C3C15" w:rsidP="000D303D">
      <w:pPr>
        <w:pStyle w:val="NoSpacing"/>
        <w:rPr>
          <w:b/>
          <w:i/>
          <w:sz w:val="24"/>
          <w:szCs w:val="24"/>
        </w:rPr>
      </w:pPr>
      <w:r>
        <w:rPr>
          <w:b/>
          <w:i/>
          <w:sz w:val="24"/>
          <w:szCs w:val="24"/>
        </w:rPr>
        <w:t xml:space="preserve">  </w:t>
      </w:r>
    </w:p>
    <w:p w14:paraId="4F61E9D8" w14:textId="44810DB6" w:rsidR="009C3C15" w:rsidRPr="009C3C15" w:rsidRDefault="009C3C15" w:rsidP="000D303D">
      <w:pPr>
        <w:pStyle w:val="NoSpacing"/>
        <w:rPr>
          <w:color w:val="FF0000"/>
          <w:sz w:val="24"/>
          <w:szCs w:val="24"/>
        </w:rPr>
      </w:pPr>
      <w:r>
        <w:rPr>
          <w:sz w:val="24"/>
          <w:szCs w:val="24"/>
        </w:rPr>
        <w:t xml:space="preserve">Timeliness of completion of investigations rose considerably after 2013, </w:t>
      </w:r>
      <w:r w:rsidR="00C34A5C">
        <w:rPr>
          <w:sz w:val="24"/>
          <w:szCs w:val="24"/>
        </w:rPr>
        <w:t>and</w:t>
      </w:r>
      <w:r>
        <w:rPr>
          <w:sz w:val="24"/>
          <w:szCs w:val="24"/>
        </w:rPr>
        <w:t xml:space="preserve"> remain around the 70 percent rate.  </w:t>
      </w:r>
    </w:p>
    <w:p w14:paraId="7A54F1FC" w14:textId="77777777" w:rsidR="009C3C15" w:rsidRDefault="009C3C15" w:rsidP="000D303D">
      <w:pPr>
        <w:pStyle w:val="NoSpacing"/>
        <w:rPr>
          <w:b/>
          <w:i/>
          <w:sz w:val="24"/>
          <w:szCs w:val="24"/>
        </w:rPr>
      </w:pPr>
    </w:p>
    <w:p w14:paraId="3A2FD60E" w14:textId="77777777" w:rsidR="001C05B6" w:rsidRDefault="001C05B6" w:rsidP="000D303D">
      <w:pPr>
        <w:pStyle w:val="NoSpacing"/>
        <w:rPr>
          <w:sz w:val="24"/>
          <w:szCs w:val="24"/>
        </w:rPr>
      </w:pPr>
    </w:p>
    <w:p w14:paraId="27D44DAE" w14:textId="77777777" w:rsidR="000D303D" w:rsidRPr="005D1BB3" w:rsidRDefault="000D303D" w:rsidP="000D303D">
      <w:pPr>
        <w:pStyle w:val="NoSpacing"/>
        <w:rPr>
          <w:sz w:val="24"/>
          <w:szCs w:val="24"/>
        </w:rPr>
      </w:pPr>
      <w:r w:rsidRPr="005D1BB3">
        <w:rPr>
          <w:sz w:val="24"/>
          <w:szCs w:val="24"/>
        </w:rPr>
        <w:t>Priority I (Within 30 Days)                       Priority II (Within 30 Days)</w:t>
      </w:r>
    </w:p>
    <w:p w14:paraId="16B4CCE0" w14:textId="77777777" w:rsidR="00596484" w:rsidRDefault="00596484" w:rsidP="00596484">
      <w:pPr>
        <w:pStyle w:val="NoSpacing"/>
        <w:rPr>
          <w:sz w:val="24"/>
          <w:szCs w:val="24"/>
        </w:rPr>
      </w:pPr>
      <w:r w:rsidRPr="005D1BB3">
        <w:rPr>
          <w:sz w:val="24"/>
          <w:szCs w:val="24"/>
        </w:rPr>
        <w:t>2</w:t>
      </w:r>
      <w:r w:rsidRPr="005D1BB3">
        <w:rPr>
          <w:sz w:val="24"/>
          <w:szCs w:val="24"/>
          <w:vertAlign w:val="superscript"/>
        </w:rPr>
        <w:t>nd</w:t>
      </w:r>
      <w:r>
        <w:rPr>
          <w:sz w:val="24"/>
          <w:szCs w:val="24"/>
        </w:rPr>
        <w:t xml:space="preserve"> Qtr SFY 2011</w:t>
      </w:r>
      <w:r w:rsidRPr="005D1BB3">
        <w:rPr>
          <w:sz w:val="24"/>
          <w:szCs w:val="24"/>
        </w:rPr>
        <w:t xml:space="preserve"> </w:t>
      </w:r>
      <w:r>
        <w:rPr>
          <w:sz w:val="24"/>
          <w:szCs w:val="24"/>
        </w:rPr>
        <w:t>– 58%</w:t>
      </w:r>
      <w:r>
        <w:rPr>
          <w:sz w:val="24"/>
          <w:szCs w:val="24"/>
        </w:rPr>
        <w:tab/>
      </w:r>
      <w:r>
        <w:rPr>
          <w:sz w:val="24"/>
          <w:szCs w:val="24"/>
        </w:rPr>
        <w:tab/>
      </w:r>
      <w:r>
        <w:rPr>
          <w:sz w:val="24"/>
          <w:szCs w:val="24"/>
        </w:rPr>
        <w:tab/>
      </w:r>
      <w:r w:rsidRPr="005D1BB3">
        <w:rPr>
          <w:sz w:val="24"/>
          <w:szCs w:val="24"/>
        </w:rPr>
        <w:t>2</w:t>
      </w:r>
      <w:r w:rsidRPr="005D1BB3">
        <w:rPr>
          <w:sz w:val="24"/>
          <w:szCs w:val="24"/>
          <w:vertAlign w:val="superscript"/>
        </w:rPr>
        <w:t>nd</w:t>
      </w:r>
      <w:r>
        <w:rPr>
          <w:sz w:val="24"/>
          <w:szCs w:val="24"/>
        </w:rPr>
        <w:t xml:space="preserve"> Qtr SFY 2011</w:t>
      </w:r>
      <w:r w:rsidRPr="005D1BB3">
        <w:rPr>
          <w:sz w:val="24"/>
          <w:szCs w:val="24"/>
        </w:rPr>
        <w:t xml:space="preserve"> </w:t>
      </w:r>
      <w:r>
        <w:rPr>
          <w:sz w:val="24"/>
          <w:szCs w:val="24"/>
        </w:rPr>
        <w:t>– 57%</w:t>
      </w:r>
    </w:p>
    <w:p w14:paraId="31247DD9" w14:textId="77777777" w:rsidR="00596484" w:rsidRPr="005D1BB3" w:rsidRDefault="00596484" w:rsidP="00596484">
      <w:pPr>
        <w:pStyle w:val="NoSpacing"/>
        <w:rPr>
          <w:sz w:val="24"/>
          <w:szCs w:val="24"/>
        </w:rPr>
      </w:pPr>
      <w:r w:rsidRPr="005D1BB3">
        <w:rPr>
          <w:sz w:val="24"/>
          <w:szCs w:val="24"/>
        </w:rPr>
        <w:t>2</w:t>
      </w:r>
      <w:r w:rsidRPr="005D1BB3">
        <w:rPr>
          <w:sz w:val="24"/>
          <w:szCs w:val="24"/>
          <w:vertAlign w:val="superscript"/>
        </w:rPr>
        <w:t>nd</w:t>
      </w:r>
      <w:r>
        <w:rPr>
          <w:sz w:val="24"/>
          <w:szCs w:val="24"/>
        </w:rPr>
        <w:t xml:space="preserve"> Qtr SFY 2012</w:t>
      </w:r>
      <w:r w:rsidRPr="005D1BB3">
        <w:rPr>
          <w:sz w:val="24"/>
          <w:szCs w:val="24"/>
        </w:rPr>
        <w:t xml:space="preserve"> </w:t>
      </w:r>
      <w:r>
        <w:rPr>
          <w:sz w:val="24"/>
          <w:szCs w:val="24"/>
        </w:rPr>
        <w:t>– 67%</w:t>
      </w:r>
      <w:r>
        <w:rPr>
          <w:sz w:val="24"/>
          <w:szCs w:val="24"/>
        </w:rPr>
        <w:tab/>
      </w:r>
      <w:r>
        <w:rPr>
          <w:sz w:val="24"/>
          <w:szCs w:val="24"/>
        </w:rPr>
        <w:tab/>
      </w:r>
      <w:r>
        <w:rPr>
          <w:sz w:val="24"/>
          <w:szCs w:val="24"/>
        </w:rPr>
        <w:tab/>
      </w:r>
      <w:r w:rsidRPr="005D1BB3">
        <w:rPr>
          <w:sz w:val="24"/>
          <w:szCs w:val="24"/>
        </w:rPr>
        <w:t>2</w:t>
      </w:r>
      <w:r w:rsidRPr="005D1BB3">
        <w:rPr>
          <w:sz w:val="24"/>
          <w:szCs w:val="24"/>
          <w:vertAlign w:val="superscript"/>
        </w:rPr>
        <w:t>nd</w:t>
      </w:r>
      <w:r>
        <w:rPr>
          <w:sz w:val="24"/>
          <w:szCs w:val="24"/>
        </w:rPr>
        <w:t xml:space="preserve"> Qtr SFY 2012</w:t>
      </w:r>
      <w:r w:rsidRPr="005D1BB3">
        <w:rPr>
          <w:sz w:val="24"/>
          <w:szCs w:val="24"/>
        </w:rPr>
        <w:t xml:space="preserve"> </w:t>
      </w:r>
      <w:r>
        <w:rPr>
          <w:sz w:val="24"/>
          <w:szCs w:val="24"/>
        </w:rPr>
        <w:t>– 68%</w:t>
      </w:r>
      <w:r>
        <w:rPr>
          <w:sz w:val="24"/>
          <w:szCs w:val="24"/>
        </w:rPr>
        <w:tab/>
      </w:r>
    </w:p>
    <w:p w14:paraId="5FFCCAD1" w14:textId="77777777" w:rsidR="00596484" w:rsidRPr="005D1BB3" w:rsidRDefault="00596484" w:rsidP="00596484">
      <w:pPr>
        <w:pStyle w:val="NoSpacing"/>
        <w:rPr>
          <w:sz w:val="24"/>
          <w:szCs w:val="24"/>
        </w:rPr>
      </w:pPr>
      <w:r w:rsidRPr="005D1BB3">
        <w:rPr>
          <w:sz w:val="24"/>
          <w:szCs w:val="24"/>
        </w:rPr>
        <w:t>2</w:t>
      </w:r>
      <w:r w:rsidRPr="005D1BB3">
        <w:rPr>
          <w:sz w:val="24"/>
          <w:szCs w:val="24"/>
          <w:vertAlign w:val="superscript"/>
        </w:rPr>
        <w:t>nd</w:t>
      </w:r>
      <w:r w:rsidRPr="005D1BB3">
        <w:rPr>
          <w:sz w:val="24"/>
          <w:szCs w:val="24"/>
        </w:rPr>
        <w:t xml:space="preserve"> Qtr SFY 2013 </w:t>
      </w:r>
      <w:r>
        <w:rPr>
          <w:sz w:val="24"/>
          <w:szCs w:val="24"/>
        </w:rPr>
        <w:t>– 47%</w:t>
      </w:r>
      <w:r w:rsidRPr="005D1BB3">
        <w:rPr>
          <w:sz w:val="24"/>
          <w:szCs w:val="24"/>
        </w:rPr>
        <w:t xml:space="preserve">                                      </w:t>
      </w:r>
      <w:r>
        <w:rPr>
          <w:sz w:val="24"/>
          <w:szCs w:val="24"/>
        </w:rPr>
        <w:t xml:space="preserve"> </w:t>
      </w:r>
      <w:r w:rsidRPr="005D1BB3">
        <w:rPr>
          <w:sz w:val="24"/>
          <w:szCs w:val="24"/>
        </w:rPr>
        <w:t>2</w:t>
      </w:r>
      <w:r w:rsidRPr="005D1BB3">
        <w:rPr>
          <w:sz w:val="24"/>
          <w:szCs w:val="24"/>
          <w:vertAlign w:val="superscript"/>
        </w:rPr>
        <w:t>nd</w:t>
      </w:r>
      <w:r w:rsidRPr="005D1BB3">
        <w:rPr>
          <w:sz w:val="24"/>
          <w:szCs w:val="24"/>
        </w:rPr>
        <w:t xml:space="preserve"> Qtr SFY 2013 </w:t>
      </w:r>
      <w:r>
        <w:rPr>
          <w:sz w:val="24"/>
          <w:szCs w:val="24"/>
        </w:rPr>
        <w:t>–</w:t>
      </w:r>
      <w:r w:rsidRPr="005D1BB3">
        <w:rPr>
          <w:sz w:val="24"/>
          <w:szCs w:val="24"/>
        </w:rPr>
        <w:t xml:space="preserve"> </w:t>
      </w:r>
      <w:r>
        <w:rPr>
          <w:sz w:val="24"/>
          <w:szCs w:val="24"/>
        </w:rPr>
        <w:t>46%</w:t>
      </w:r>
    </w:p>
    <w:p w14:paraId="7FFD9DB9" w14:textId="77777777" w:rsidR="00596484" w:rsidRPr="005D1BB3" w:rsidRDefault="00596484" w:rsidP="00596484">
      <w:pPr>
        <w:pStyle w:val="NoSpacing"/>
        <w:rPr>
          <w:sz w:val="24"/>
          <w:szCs w:val="24"/>
        </w:rPr>
      </w:pPr>
      <w:r w:rsidRPr="005D1BB3">
        <w:rPr>
          <w:sz w:val="24"/>
          <w:szCs w:val="24"/>
        </w:rPr>
        <w:t>2</w:t>
      </w:r>
      <w:r w:rsidRPr="005D1BB3">
        <w:rPr>
          <w:sz w:val="24"/>
          <w:szCs w:val="24"/>
          <w:vertAlign w:val="superscript"/>
        </w:rPr>
        <w:t>nd</w:t>
      </w:r>
      <w:r w:rsidRPr="005D1BB3">
        <w:rPr>
          <w:sz w:val="24"/>
          <w:szCs w:val="24"/>
        </w:rPr>
        <w:t xml:space="preserve"> Qtr SFY 2014 </w:t>
      </w:r>
      <w:r>
        <w:rPr>
          <w:sz w:val="24"/>
          <w:szCs w:val="24"/>
        </w:rPr>
        <w:t>–</w:t>
      </w:r>
      <w:r w:rsidRPr="005D1BB3">
        <w:rPr>
          <w:sz w:val="24"/>
          <w:szCs w:val="24"/>
        </w:rPr>
        <w:t xml:space="preserve"> </w:t>
      </w:r>
      <w:r>
        <w:rPr>
          <w:sz w:val="24"/>
          <w:szCs w:val="24"/>
        </w:rPr>
        <w:t>72%</w:t>
      </w:r>
      <w:r w:rsidRPr="005D1BB3">
        <w:rPr>
          <w:sz w:val="24"/>
          <w:szCs w:val="24"/>
        </w:rPr>
        <w:t xml:space="preserve">                                      </w:t>
      </w:r>
      <w:r>
        <w:rPr>
          <w:sz w:val="24"/>
          <w:szCs w:val="24"/>
        </w:rPr>
        <w:t xml:space="preserve"> </w:t>
      </w:r>
      <w:r w:rsidRPr="005D1BB3">
        <w:rPr>
          <w:sz w:val="24"/>
          <w:szCs w:val="24"/>
        </w:rPr>
        <w:t>2</w:t>
      </w:r>
      <w:r w:rsidRPr="005D1BB3">
        <w:rPr>
          <w:sz w:val="24"/>
          <w:szCs w:val="24"/>
          <w:vertAlign w:val="superscript"/>
        </w:rPr>
        <w:t>nd</w:t>
      </w:r>
      <w:r w:rsidRPr="005D1BB3">
        <w:rPr>
          <w:sz w:val="24"/>
          <w:szCs w:val="24"/>
        </w:rPr>
        <w:t xml:space="preserve"> Qtr SFY 2014 </w:t>
      </w:r>
      <w:r>
        <w:rPr>
          <w:sz w:val="24"/>
          <w:szCs w:val="24"/>
        </w:rPr>
        <w:t>– 70% (DR – 79%)</w:t>
      </w:r>
    </w:p>
    <w:p w14:paraId="3F98AE54" w14:textId="77777777" w:rsidR="00596484" w:rsidRPr="005D1BB3" w:rsidRDefault="00596484" w:rsidP="00596484">
      <w:pPr>
        <w:pStyle w:val="NoSpacing"/>
        <w:rPr>
          <w:sz w:val="24"/>
          <w:szCs w:val="24"/>
        </w:rPr>
      </w:pPr>
      <w:r w:rsidRPr="005D1BB3">
        <w:rPr>
          <w:sz w:val="24"/>
          <w:szCs w:val="24"/>
        </w:rPr>
        <w:t>2</w:t>
      </w:r>
      <w:r w:rsidRPr="005D1BB3">
        <w:rPr>
          <w:sz w:val="24"/>
          <w:szCs w:val="24"/>
          <w:vertAlign w:val="superscript"/>
        </w:rPr>
        <w:t>nd</w:t>
      </w:r>
      <w:r w:rsidRPr="005D1BB3">
        <w:rPr>
          <w:sz w:val="24"/>
          <w:szCs w:val="24"/>
        </w:rPr>
        <w:t xml:space="preserve"> Qtr SFY 2015 </w:t>
      </w:r>
      <w:r>
        <w:rPr>
          <w:sz w:val="24"/>
          <w:szCs w:val="24"/>
        </w:rPr>
        <w:t>–</w:t>
      </w:r>
      <w:r w:rsidRPr="005D1BB3">
        <w:rPr>
          <w:sz w:val="24"/>
          <w:szCs w:val="24"/>
        </w:rPr>
        <w:t xml:space="preserve"> </w:t>
      </w:r>
      <w:r>
        <w:rPr>
          <w:sz w:val="24"/>
          <w:szCs w:val="24"/>
        </w:rPr>
        <w:t>70%</w:t>
      </w:r>
      <w:r w:rsidRPr="005D1BB3">
        <w:rPr>
          <w:sz w:val="24"/>
          <w:szCs w:val="24"/>
        </w:rPr>
        <w:t xml:space="preserve">                                     </w:t>
      </w:r>
      <w:r>
        <w:rPr>
          <w:sz w:val="24"/>
          <w:szCs w:val="24"/>
        </w:rPr>
        <w:t xml:space="preserve">  </w:t>
      </w:r>
      <w:r w:rsidRPr="005D1BB3">
        <w:rPr>
          <w:sz w:val="24"/>
          <w:szCs w:val="24"/>
        </w:rPr>
        <w:t>2</w:t>
      </w:r>
      <w:r w:rsidRPr="005D1BB3">
        <w:rPr>
          <w:sz w:val="24"/>
          <w:szCs w:val="24"/>
          <w:vertAlign w:val="superscript"/>
        </w:rPr>
        <w:t>nd</w:t>
      </w:r>
      <w:r>
        <w:rPr>
          <w:sz w:val="24"/>
          <w:szCs w:val="24"/>
        </w:rPr>
        <w:t xml:space="preserve"> Qtr SFY 2015 – 71% (DR – 79%)</w:t>
      </w:r>
    </w:p>
    <w:p w14:paraId="5F64AA8D" w14:textId="77777777" w:rsidR="000D303D" w:rsidRPr="005D1BB3" w:rsidRDefault="000D303D" w:rsidP="000D303D">
      <w:pPr>
        <w:pStyle w:val="NoSpacing"/>
        <w:rPr>
          <w:sz w:val="24"/>
          <w:szCs w:val="24"/>
        </w:rPr>
      </w:pPr>
    </w:p>
    <w:p w14:paraId="33EFBB7D" w14:textId="3B051D7B" w:rsidR="007E576E" w:rsidRPr="007E576E" w:rsidRDefault="007E576E" w:rsidP="000D303D">
      <w:pPr>
        <w:pStyle w:val="NoSpacing"/>
        <w:rPr>
          <w:color w:val="FF0000"/>
          <w:sz w:val="24"/>
          <w:szCs w:val="24"/>
        </w:rPr>
      </w:pPr>
      <w:r>
        <w:rPr>
          <w:sz w:val="24"/>
          <w:szCs w:val="24"/>
        </w:rPr>
        <w:t>Data from the DCFS Statewide Meta-Analysis Report state that in December 2013, there were 1,148 overdue investigations statewide.  BY May 2014 the number had risen to 1,</w:t>
      </w:r>
      <w:r w:rsidR="004E06C1">
        <w:rPr>
          <w:sz w:val="24"/>
          <w:szCs w:val="24"/>
        </w:rPr>
        <w:t xml:space="preserve">267 and currently the number has been reduced to 584.  </w:t>
      </w:r>
      <w:r w:rsidR="008B28E7">
        <w:rPr>
          <w:sz w:val="24"/>
          <w:szCs w:val="24"/>
        </w:rPr>
        <w:t xml:space="preserve">It is important to note than an overdue investigation does not necessarily mean that the child victim was not assessed or that safety interventions have not occurred. It may mean that documentation is not complete.  </w:t>
      </w:r>
      <w:r w:rsidR="004E06C1">
        <w:rPr>
          <w:sz w:val="24"/>
          <w:szCs w:val="24"/>
        </w:rPr>
        <w:t>DCFS tracks these trends closely and can identify the causes of the overdue cases by Area and county.  Most of the overdue cases are in counties that have vacant positions, staff covering an additional county</w:t>
      </w:r>
      <w:r w:rsidR="003E69FB">
        <w:rPr>
          <w:sz w:val="24"/>
          <w:szCs w:val="24"/>
        </w:rPr>
        <w:t xml:space="preserve"> or</w:t>
      </w:r>
      <w:r w:rsidR="004E06C1">
        <w:rPr>
          <w:sz w:val="24"/>
          <w:szCs w:val="24"/>
        </w:rPr>
        <w:t xml:space="preserve"> new staff</w:t>
      </w:r>
      <w:r w:rsidR="003E69FB">
        <w:rPr>
          <w:sz w:val="24"/>
          <w:szCs w:val="24"/>
        </w:rPr>
        <w:t xml:space="preserve"> not carrying full caseloads</w:t>
      </w:r>
      <w:r w:rsidR="004E06C1">
        <w:rPr>
          <w:sz w:val="24"/>
          <w:szCs w:val="24"/>
        </w:rPr>
        <w:t>.</w:t>
      </w:r>
    </w:p>
    <w:p w14:paraId="0EF88334" w14:textId="77777777" w:rsidR="007E576E" w:rsidRDefault="007E576E" w:rsidP="000D303D">
      <w:pPr>
        <w:pStyle w:val="NoSpacing"/>
        <w:rPr>
          <w:sz w:val="24"/>
          <w:szCs w:val="24"/>
        </w:rPr>
      </w:pPr>
    </w:p>
    <w:p w14:paraId="6ECE1EBB" w14:textId="77777777" w:rsidR="007E576E" w:rsidRPr="007E576E" w:rsidRDefault="007E576E" w:rsidP="000D303D">
      <w:pPr>
        <w:pStyle w:val="NoSpacing"/>
        <w:rPr>
          <w:b/>
          <w:i/>
          <w:sz w:val="24"/>
          <w:szCs w:val="24"/>
        </w:rPr>
      </w:pPr>
      <w:r>
        <w:rPr>
          <w:b/>
          <w:i/>
          <w:sz w:val="24"/>
          <w:szCs w:val="24"/>
        </w:rPr>
        <w:t>Investigative Practice</w:t>
      </w:r>
    </w:p>
    <w:p w14:paraId="747DD8A7" w14:textId="77777777" w:rsidR="007E576E" w:rsidRDefault="007E576E" w:rsidP="000D303D">
      <w:pPr>
        <w:pStyle w:val="NoSpacing"/>
        <w:rPr>
          <w:sz w:val="24"/>
          <w:szCs w:val="24"/>
        </w:rPr>
      </w:pPr>
    </w:p>
    <w:p w14:paraId="1AED6E17" w14:textId="51545D85" w:rsidR="009C3C15" w:rsidRDefault="009C3C15" w:rsidP="000D303D">
      <w:pPr>
        <w:pStyle w:val="NoSpacing"/>
        <w:rPr>
          <w:sz w:val="24"/>
          <w:szCs w:val="24"/>
        </w:rPr>
      </w:pPr>
      <w:r>
        <w:rPr>
          <w:sz w:val="24"/>
          <w:szCs w:val="24"/>
        </w:rPr>
        <w:t>DCFS quality assurance processes</w:t>
      </w:r>
      <w:r w:rsidR="009410E8">
        <w:rPr>
          <w:sz w:val="24"/>
          <w:szCs w:val="24"/>
        </w:rPr>
        <w:t xml:space="preserve"> report</w:t>
      </w:r>
      <w:r w:rsidR="00B9006B">
        <w:rPr>
          <w:sz w:val="24"/>
          <w:szCs w:val="24"/>
        </w:rPr>
        <w:t xml:space="preserve"> that in a study</w:t>
      </w:r>
      <w:r w:rsidR="00CC4556">
        <w:rPr>
          <w:sz w:val="24"/>
          <w:szCs w:val="24"/>
        </w:rPr>
        <w:t xml:space="preserve"> </w:t>
      </w:r>
      <w:r w:rsidR="00B9006B">
        <w:rPr>
          <w:sz w:val="24"/>
          <w:szCs w:val="24"/>
        </w:rPr>
        <w:t xml:space="preserve">of randomly </w:t>
      </w:r>
      <w:r w:rsidR="00C34A5C">
        <w:rPr>
          <w:sz w:val="24"/>
          <w:szCs w:val="24"/>
        </w:rPr>
        <w:t xml:space="preserve">selected </w:t>
      </w:r>
      <w:r w:rsidR="00B9006B">
        <w:rPr>
          <w:sz w:val="24"/>
          <w:szCs w:val="24"/>
        </w:rPr>
        <w:t xml:space="preserve">maltreatment investigations in 2014, </w:t>
      </w:r>
      <w:r w:rsidR="009410E8">
        <w:rPr>
          <w:sz w:val="24"/>
          <w:szCs w:val="24"/>
        </w:rPr>
        <w:t>98 percent of victims, 97 percent of non-victims, 93 percent of alleged offenders and 90 percent of non-offending caregivers we</w:t>
      </w:r>
      <w:r w:rsidR="00CC4556">
        <w:rPr>
          <w:sz w:val="24"/>
          <w:szCs w:val="24"/>
        </w:rPr>
        <w:t>re interviewed by investigators.</w:t>
      </w:r>
      <w:r w:rsidR="00B9006B">
        <w:rPr>
          <w:sz w:val="24"/>
          <w:szCs w:val="24"/>
        </w:rPr>
        <w:t xml:space="preserve">  Staff interviewed 93 percent of known offenders, addressed all of the reported allegations in 95 percent of the interviews</w:t>
      </w:r>
      <w:r w:rsidR="00C3109B">
        <w:rPr>
          <w:sz w:val="24"/>
          <w:szCs w:val="24"/>
        </w:rPr>
        <w:t xml:space="preserve"> and completed interviews with the non-offending parent in 90 percent of the cases.</w:t>
      </w:r>
      <w:r w:rsidR="00C34A5C">
        <w:rPr>
          <w:sz w:val="24"/>
          <w:szCs w:val="24"/>
        </w:rPr>
        <w:t xml:space="preserve">  DCFS performance in these areas is relatively high.</w:t>
      </w:r>
    </w:p>
    <w:p w14:paraId="21A51FBB" w14:textId="77777777" w:rsidR="00C3109B" w:rsidRDefault="00C3109B" w:rsidP="000D303D">
      <w:pPr>
        <w:pStyle w:val="NoSpacing"/>
        <w:rPr>
          <w:sz w:val="24"/>
          <w:szCs w:val="24"/>
        </w:rPr>
      </w:pPr>
    </w:p>
    <w:p w14:paraId="1434794F" w14:textId="3304C4FA" w:rsidR="00BA224F" w:rsidRPr="005D1BB3" w:rsidRDefault="00C3109B" w:rsidP="000D303D">
      <w:pPr>
        <w:pStyle w:val="NoSpacing"/>
        <w:rPr>
          <w:sz w:val="24"/>
          <w:szCs w:val="24"/>
        </w:rPr>
      </w:pPr>
      <w:r>
        <w:rPr>
          <w:sz w:val="24"/>
          <w:szCs w:val="24"/>
        </w:rPr>
        <w:t>However, assessors did not interview 16 percent of reporters, missed at least one interview with a potential collateral source in 39 percent of the cases and while Health and Safety Assessments were documented for almost all children, 68 percent of them were documented after the required time frame.  In addition, the study found that for those cases where a protection plan was implemented, 30 percent of those plans did not accurately address the child’s safety.</w:t>
      </w:r>
      <w:r w:rsidR="00F02D65">
        <w:rPr>
          <w:sz w:val="24"/>
          <w:szCs w:val="24"/>
        </w:rPr>
        <w:t xml:space="preserve">  </w:t>
      </w:r>
      <w:r w:rsidR="00BA224F">
        <w:rPr>
          <w:sz w:val="24"/>
          <w:szCs w:val="24"/>
        </w:rPr>
        <w:t>The report also states that in this small sample, “thirty-six percent of the investigations reviewed this year were overdue, rang</w:t>
      </w:r>
      <w:r w:rsidR="00DB23F6">
        <w:rPr>
          <w:sz w:val="24"/>
          <w:szCs w:val="24"/>
        </w:rPr>
        <w:t>ing from one to 262 days late”</w:t>
      </w:r>
      <w:r w:rsidR="00CF5E2D">
        <w:rPr>
          <w:sz w:val="24"/>
          <w:szCs w:val="24"/>
        </w:rPr>
        <w:t>.</w:t>
      </w:r>
      <w:r w:rsidR="00DB23F6">
        <w:rPr>
          <w:sz w:val="24"/>
          <w:szCs w:val="24"/>
        </w:rPr>
        <w:t xml:space="preserve">  </w:t>
      </w:r>
      <w:r w:rsidR="00BA224F">
        <w:rPr>
          <w:sz w:val="24"/>
          <w:szCs w:val="24"/>
        </w:rPr>
        <w:t>Assessors continue to cite staff shortages as the primary reason (44 percent) for referrals not being complet</w:t>
      </w:r>
      <w:r w:rsidR="00CF5E2D">
        <w:rPr>
          <w:sz w:val="24"/>
          <w:szCs w:val="24"/>
        </w:rPr>
        <w:t>ed within mandated time frames.</w:t>
      </w:r>
    </w:p>
    <w:p w14:paraId="3C1E79C8" w14:textId="77777777" w:rsidR="000D303D" w:rsidRPr="005D1BB3" w:rsidRDefault="000D303D" w:rsidP="000D303D">
      <w:pPr>
        <w:pStyle w:val="NoSpacing"/>
        <w:rPr>
          <w:sz w:val="24"/>
          <w:szCs w:val="24"/>
        </w:rPr>
      </w:pPr>
    </w:p>
    <w:p w14:paraId="7832BC54" w14:textId="77777777" w:rsidR="00CC4556" w:rsidRDefault="00CB4A1B" w:rsidP="00CB4A1B">
      <w:pPr>
        <w:pStyle w:val="NoSpacing"/>
        <w:rPr>
          <w:b/>
          <w:i/>
          <w:sz w:val="24"/>
          <w:szCs w:val="24"/>
        </w:rPr>
      </w:pPr>
      <w:r w:rsidRPr="005D1BB3">
        <w:rPr>
          <w:b/>
          <w:i/>
          <w:sz w:val="24"/>
          <w:szCs w:val="24"/>
        </w:rPr>
        <w:t xml:space="preserve">Percent of Children with True Allegations with a Subsequent Report within </w:t>
      </w:r>
      <w:r w:rsidR="00CC4556">
        <w:rPr>
          <w:b/>
          <w:i/>
          <w:sz w:val="24"/>
          <w:szCs w:val="24"/>
        </w:rPr>
        <w:t>6</w:t>
      </w:r>
      <w:r w:rsidR="00596484">
        <w:rPr>
          <w:b/>
          <w:i/>
          <w:sz w:val="24"/>
          <w:szCs w:val="24"/>
        </w:rPr>
        <w:t xml:space="preserve"> and 12 months</w:t>
      </w:r>
    </w:p>
    <w:p w14:paraId="4D6FD814" w14:textId="77777777" w:rsidR="00596484" w:rsidRDefault="00596484" w:rsidP="00CB4A1B">
      <w:pPr>
        <w:pStyle w:val="NoSpacing"/>
        <w:rPr>
          <w:b/>
          <w:i/>
          <w:sz w:val="24"/>
          <w:szCs w:val="24"/>
        </w:rPr>
      </w:pPr>
    </w:p>
    <w:p w14:paraId="4EEA1D9B" w14:textId="067E97E8" w:rsidR="004579BE" w:rsidRPr="004579BE" w:rsidRDefault="004579BE" w:rsidP="00CB4A1B">
      <w:pPr>
        <w:pStyle w:val="NoSpacing"/>
        <w:rPr>
          <w:sz w:val="24"/>
          <w:szCs w:val="24"/>
        </w:rPr>
      </w:pPr>
      <w:r>
        <w:rPr>
          <w:sz w:val="24"/>
          <w:szCs w:val="24"/>
        </w:rPr>
        <w:t>6 Months:                                                12 Months:</w:t>
      </w:r>
    </w:p>
    <w:p w14:paraId="56C150F4" w14:textId="77777777" w:rsidR="00596484" w:rsidRDefault="00596484" w:rsidP="00596484">
      <w:pPr>
        <w:pStyle w:val="NoSpacing"/>
        <w:rPr>
          <w:sz w:val="24"/>
          <w:szCs w:val="24"/>
        </w:rPr>
      </w:pPr>
      <w:r w:rsidRPr="005D1BB3">
        <w:rPr>
          <w:sz w:val="24"/>
          <w:szCs w:val="24"/>
        </w:rPr>
        <w:t>2</w:t>
      </w:r>
      <w:r w:rsidRPr="005D1BB3">
        <w:rPr>
          <w:sz w:val="24"/>
          <w:szCs w:val="24"/>
          <w:vertAlign w:val="superscript"/>
        </w:rPr>
        <w:t>nd</w:t>
      </w:r>
      <w:r>
        <w:rPr>
          <w:sz w:val="24"/>
          <w:szCs w:val="24"/>
        </w:rPr>
        <w:t xml:space="preserve"> Qtr SFY 2011</w:t>
      </w:r>
      <w:r w:rsidRPr="005D1BB3">
        <w:rPr>
          <w:sz w:val="24"/>
          <w:szCs w:val="24"/>
        </w:rPr>
        <w:t xml:space="preserve"> </w:t>
      </w:r>
      <w:r>
        <w:rPr>
          <w:sz w:val="24"/>
          <w:szCs w:val="24"/>
        </w:rPr>
        <w:t xml:space="preserve">– </w:t>
      </w:r>
      <w:r>
        <w:rPr>
          <w:sz w:val="24"/>
          <w:szCs w:val="24"/>
        </w:rPr>
        <w:tab/>
        <w:t>8%</w:t>
      </w:r>
      <w:r>
        <w:rPr>
          <w:sz w:val="24"/>
          <w:szCs w:val="24"/>
        </w:rPr>
        <w:tab/>
      </w:r>
      <w:r>
        <w:rPr>
          <w:sz w:val="24"/>
          <w:szCs w:val="24"/>
        </w:rPr>
        <w:tab/>
        <w:t>12%</w:t>
      </w:r>
    </w:p>
    <w:p w14:paraId="514B8ABD" w14:textId="77777777" w:rsidR="00596484" w:rsidRDefault="00596484" w:rsidP="00596484">
      <w:pPr>
        <w:pStyle w:val="NoSpacing"/>
        <w:rPr>
          <w:sz w:val="24"/>
          <w:szCs w:val="24"/>
        </w:rPr>
      </w:pPr>
      <w:r w:rsidRPr="005D1BB3">
        <w:rPr>
          <w:sz w:val="24"/>
          <w:szCs w:val="24"/>
        </w:rPr>
        <w:t>2</w:t>
      </w:r>
      <w:r w:rsidRPr="005D1BB3">
        <w:rPr>
          <w:sz w:val="24"/>
          <w:szCs w:val="24"/>
          <w:vertAlign w:val="superscript"/>
        </w:rPr>
        <w:t>nd</w:t>
      </w:r>
      <w:r>
        <w:rPr>
          <w:sz w:val="24"/>
          <w:szCs w:val="24"/>
        </w:rPr>
        <w:t xml:space="preserve"> Qtr SFY 2012</w:t>
      </w:r>
      <w:r w:rsidRPr="005D1BB3">
        <w:rPr>
          <w:sz w:val="24"/>
          <w:szCs w:val="24"/>
        </w:rPr>
        <w:t xml:space="preserve"> </w:t>
      </w:r>
      <w:r>
        <w:rPr>
          <w:sz w:val="24"/>
          <w:szCs w:val="24"/>
        </w:rPr>
        <w:t xml:space="preserve">– </w:t>
      </w:r>
      <w:r>
        <w:rPr>
          <w:sz w:val="24"/>
          <w:szCs w:val="24"/>
        </w:rPr>
        <w:tab/>
        <w:t>9%</w:t>
      </w:r>
      <w:r>
        <w:rPr>
          <w:sz w:val="24"/>
          <w:szCs w:val="24"/>
        </w:rPr>
        <w:tab/>
      </w:r>
      <w:r>
        <w:rPr>
          <w:sz w:val="24"/>
          <w:szCs w:val="24"/>
        </w:rPr>
        <w:tab/>
        <w:t>12%</w:t>
      </w:r>
    </w:p>
    <w:p w14:paraId="5A16564A" w14:textId="77777777" w:rsidR="00596484" w:rsidRPr="005D1BB3" w:rsidRDefault="00596484" w:rsidP="00596484">
      <w:pPr>
        <w:pStyle w:val="NoSpacing"/>
        <w:rPr>
          <w:sz w:val="24"/>
          <w:szCs w:val="24"/>
        </w:rPr>
      </w:pPr>
      <w:r w:rsidRPr="005D1BB3">
        <w:rPr>
          <w:sz w:val="24"/>
          <w:szCs w:val="24"/>
        </w:rPr>
        <w:t>2</w:t>
      </w:r>
      <w:r w:rsidRPr="005D1BB3">
        <w:rPr>
          <w:sz w:val="24"/>
          <w:szCs w:val="24"/>
          <w:vertAlign w:val="superscript"/>
        </w:rPr>
        <w:t>nd</w:t>
      </w:r>
      <w:r w:rsidRPr="005D1BB3">
        <w:rPr>
          <w:sz w:val="24"/>
          <w:szCs w:val="24"/>
        </w:rPr>
        <w:t xml:space="preserve"> Qtr SFY 2013 </w:t>
      </w:r>
      <w:r>
        <w:rPr>
          <w:sz w:val="24"/>
          <w:szCs w:val="24"/>
        </w:rPr>
        <w:t>–</w:t>
      </w:r>
      <w:r w:rsidRPr="005D1BB3">
        <w:rPr>
          <w:sz w:val="24"/>
          <w:szCs w:val="24"/>
        </w:rPr>
        <w:t xml:space="preserve"> </w:t>
      </w:r>
      <w:r>
        <w:rPr>
          <w:sz w:val="24"/>
          <w:szCs w:val="24"/>
        </w:rPr>
        <w:tab/>
        <w:t>7%</w:t>
      </w:r>
      <w:r>
        <w:rPr>
          <w:sz w:val="24"/>
          <w:szCs w:val="24"/>
        </w:rPr>
        <w:tab/>
      </w:r>
      <w:r>
        <w:rPr>
          <w:sz w:val="24"/>
          <w:szCs w:val="24"/>
        </w:rPr>
        <w:tab/>
        <w:t>10%</w:t>
      </w:r>
    </w:p>
    <w:p w14:paraId="25F948B9" w14:textId="77777777" w:rsidR="00596484" w:rsidRPr="005D1BB3" w:rsidRDefault="00596484" w:rsidP="00596484">
      <w:pPr>
        <w:pStyle w:val="NoSpacing"/>
        <w:rPr>
          <w:sz w:val="24"/>
          <w:szCs w:val="24"/>
        </w:rPr>
      </w:pPr>
      <w:r w:rsidRPr="005D1BB3">
        <w:rPr>
          <w:sz w:val="24"/>
          <w:szCs w:val="24"/>
        </w:rPr>
        <w:t>2</w:t>
      </w:r>
      <w:r w:rsidRPr="005D1BB3">
        <w:rPr>
          <w:sz w:val="24"/>
          <w:szCs w:val="24"/>
          <w:vertAlign w:val="superscript"/>
        </w:rPr>
        <w:t>nd</w:t>
      </w:r>
      <w:r w:rsidRPr="005D1BB3">
        <w:rPr>
          <w:sz w:val="24"/>
          <w:szCs w:val="24"/>
        </w:rPr>
        <w:t xml:space="preserve"> Qtr SFY 2014 </w:t>
      </w:r>
      <w:r>
        <w:rPr>
          <w:sz w:val="24"/>
          <w:szCs w:val="24"/>
        </w:rPr>
        <w:t xml:space="preserve">– </w:t>
      </w:r>
      <w:r>
        <w:rPr>
          <w:sz w:val="24"/>
          <w:szCs w:val="24"/>
        </w:rPr>
        <w:tab/>
        <w:t>7%</w:t>
      </w:r>
      <w:r>
        <w:rPr>
          <w:sz w:val="24"/>
          <w:szCs w:val="24"/>
        </w:rPr>
        <w:tab/>
      </w:r>
      <w:r>
        <w:rPr>
          <w:sz w:val="24"/>
          <w:szCs w:val="24"/>
        </w:rPr>
        <w:tab/>
        <w:t>10% (DR – 0.4%)</w:t>
      </w:r>
    </w:p>
    <w:p w14:paraId="6767B400" w14:textId="77777777" w:rsidR="00596484" w:rsidRPr="005D1BB3" w:rsidRDefault="00596484" w:rsidP="00596484">
      <w:pPr>
        <w:pStyle w:val="NoSpacing"/>
        <w:rPr>
          <w:sz w:val="24"/>
          <w:szCs w:val="24"/>
        </w:rPr>
      </w:pPr>
      <w:r w:rsidRPr="005D1BB3">
        <w:rPr>
          <w:sz w:val="24"/>
          <w:szCs w:val="24"/>
        </w:rPr>
        <w:t>2</w:t>
      </w:r>
      <w:r w:rsidRPr="005D1BB3">
        <w:rPr>
          <w:sz w:val="24"/>
          <w:szCs w:val="24"/>
          <w:vertAlign w:val="superscript"/>
        </w:rPr>
        <w:t>nd</w:t>
      </w:r>
      <w:r>
        <w:rPr>
          <w:sz w:val="24"/>
          <w:szCs w:val="24"/>
        </w:rPr>
        <w:t xml:space="preserve"> Qtr SFY 2015 – </w:t>
      </w:r>
      <w:r>
        <w:rPr>
          <w:sz w:val="24"/>
          <w:szCs w:val="24"/>
        </w:rPr>
        <w:tab/>
        <w:t>6%</w:t>
      </w:r>
      <w:r>
        <w:rPr>
          <w:sz w:val="24"/>
          <w:szCs w:val="24"/>
        </w:rPr>
        <w:tab/>
      </w:r>
      <w:r>
        <w:rPr>
          <w:sz w:val="24"/>
          <w:szCs w:val="24"/>
        </w:rPr>
        <w:tab/>
        <w:t>9% (DR – 1%)</w:t>
      </w:r>
    </w:p>
    <w:p w14:paraId="10715931" w14:textId="77777777" w:rsidR="00596484" w:rsidRPr="005D1BB3" w:rsidRDefault="00596484" w:rsidP="00596484">
      <w:pPr>
        <w:pStyle w:val="NoSpacing"/>
        <w:rPr>
          <w:sz w:val="24"/>
          <w:szCs w:val="24"/>
        </w:rPr>
      </w:pPr>
    </w:p>
    <w:p w14:paraId="5E5C5DE8" w14:textId="431787A0" w:rsidR="00FA004D" w:rsidRDefault="00CC4556" w:rsidP="00CB4A1B">
      <w:pPr>
        <w:pStyle w:val="NoSpacing"/>
        <w:rPr>
          <w:sz w:val="24"/>
          <w:szCs w:val="24"/>
        </w:rPr>
      </w:pPr>
      <w:r>
        <w:rPr>
          <w:sz w:val="24"/>
          <w:szCs w:val="24"/>
        </w:rPr>
        <w:t>The incidence of recurrence can be an indication of the effectiveness of the system’s response to maltreatment.</w:t>
      </w:r>
      <w:r w:rsidR="00FA004D">
        <w:rPr>
          <w:sz w:val="24"/>
          <w:szCs w:val="24"/>
        </w:rPr>
        <w:t xml:space="preserve"> The national standard for performance is no more than 5.4 percent of cases </w:t>
      </w:r>
      <w:r w:rsidR="0066243C">
        <w:rPr>
          <w:sz w:val="24"/>
          <w:szCs w:val="24"/>
        </w:rPr>
        <w:t>should</w:t>
      </w:r>
      <w:r w:rsidR="00382064">
        <w:rPr>
          <w:sz w:val="24"/>
          <w:szCs w:val="24"/>
        </w:rPr>
        <w:t xml:space="preserve"> </w:t>
      </w:r>
      <w:r w:rsidR="0066243C">
        <w:rPr>
          <w:sz w:val="24"/>
          <w:szCs w:val="24"/>
        </w:rPr>
        <w:t>have a subsequent report</w:t>
      </w:r>
      <w:r w:rsidR="00FA004D">
        <w:rPr>
          <w:sz w:val="24"/>
          <w:szCs w:val="24"/>
        </w:rPr>
        <w:t xml:space="preserve"> of maltreatment.  DCFS moved closer to the standard in the 2</w:t>
      </w:r>
      <w:r w:rsidR="00FA004D" w:rsidRPr="00FA004D">
        <w:rPr>
          <w:sz w:val="24"/>
          <w:szCs w:val="24"/>
          <w:vertAlign w:val="superscript"/>
        </w:rPr>
        <w:t>nd</w:t>
      </w:r>
      <w:r w:rsidR="00FA004D">
        <w:rPr>
          <w:sz w:val="24"/>
          <w:szCs w:val="24"/>
        </w:rPr>
        <w:t xml:space="preserve"> quarter of 2015, but missed it by </w:t>
      </w:r>
      <w:r w:rsidR="0066243C">
        <w:rPr>
          <w:sz w:val="24"/>
          <w:szCs w:val="24"/>
        </w:rPr>
        <w:t>a slight margin</w:t>
      </w:r>
      <w:r w:rsidR="007C07B9">
        <w:rPr>
          <w:sz w:val="24"/>
          <w:szCs w:val="24"/>
        </w:rPr>
        <w:t>.</w:t>
      </w:r>
    </w:p>
    <w:p w14:paraId="5F02CD41" w14:textId="77777777" w:rsidR="00FE6633" w:rsidRDefault="00FE6633" w:rsidP="00CB4A1B">
      <w:pPr>
        <w:pStyle w:val="NoSpacing"/>
        <w:rPr>
          <w:b/>
          <w:i/>
          <w:sz w:val="24"/>
          <w:szCs w:val="24"/>
        </w:rPr>
      </w:pPr>
    </w:p>
    <w:p w14:paraId="188B7DE7" w14:textId="77777777" w:rsidR="00CB4A1B" w:rsidRDefault="00CB4A1B" w:rsidP="00CB4A1B">
      <w:pPr>
        <w:pStyle w:val="NoSpacing"/>
        <w:rPr>
          <w:b/>
          <w:i/>
          <w:sz w:val="24"/>
          <w:szCs w:val="24"/>
        </w:rPr>
      </w:pPr>
      <w:r w:rsidRPr="005D1BB3">
        <w:rPr>
          <w:b/>
          <w:i/>
          <w:sz w:val="24"/>
          <w:szCs w:val="24"/>
        </w:rPr>
        <w:t>Percent of Children Receiving Supportive or Protective Services Abused or Neglected within One Year</w:t>
      </w:r>
    </w:p>
    <w:p w14:paraId="3A69BA9F" w14:textId="77777777" w:rsidR="00596484" w:rsidRDefault="00596484" w:rsidP="00CB4A1B">
      <w:pPr>
        <w:pStyle w:val="NoSpacing"/>
        <w:rPr>
          <w:b/>
          <w:i/>
          <w:sz w:val="24"/>
          <w:szCs w:val="24"/>
        </w:rPr>
      </w:pPr>
    </w:p>
    <w:p w14:paraId="052925FB" w14:textId="50371CB7" w:rsidR="00596484" w:rsidRDefault="00CF5E2D" w:rsidP="004579BE">
      <w:pPr>
        <w:pStyle w:val="NoSpacing"/>
        <w:rPr>
          <w:sz w:val="24"/>
          <w:szCs w:val="24"/>
        </w:rPr>
      </w:pPr>
      <w:r>
        <w:rPr>
          <w:sz w:val="24"/>
          <w:szCs w:val="24"/>
        </w:rPr>
        <w:t xml:space="preserve">     </w:t>
      </w:r>
      <w:r w:rsidR="00596484">
        <w:rPr>
          <w:sz w:val="24"/>
          <w:szCs w:val="24"/>
        </w:rPr>
        <w:t>Supportive Services</w:t>
      </w:r>
      <w:r w:rsidR="00596484">
        <w:rPr>
          <w:sz w:val="24"/>
          <w:szCs w:val="24"/>
        </w:rPr>
        <w:tab/>
      </w:r>
      <w:r w:rsidR="004579BE">
        <w:rPr>
          <w:sz w:val="24"/>
          <w:szCs w:val="24"/>
        </w:rPr>
        <w:t xml:space="preserve">              </w:t>
      </w:r>
      <w:r w:rsidR="00596484">
        <w:rPr>
          <w:sz w:val="24"/>
          <w:szCs w:val="24"/>
        </w:rPr>
        <w:t>Protective Services</w:t>
      </w:r>
    </w:p>
    <w:p w14:paraId="16A2B4D9" w14:textId="77777777" w:rsidR="00596484" w:rsidRDefault="00596484" w:rsidP="00596484">
      <w:pPr>
        <w:pStyle w:val="NoSpacing"/>
        <w:rPr>
          <w:sz w:val="24"/>
          <w:szCs w:val="24"/>
        </w:rPr>
      </w:pPr>
      <w:r w:rsidRPr="005D1BB3">
        <w:rPr>
          <w:sz w:val="24"/>
          <w:szCs w:val="24"/>
        </w:rPr>
        <w:t>2</w:t>
      </w:r>
      <w:r w:rsidRPr="005D1BB3">
        <w:rPr>
          <w:sz w:val="24"/>
          <w:szCs w:val="24"/>
          <w:vertAlign w:val="superscript"/>
        </w:rPr>
        <w:t>nd</w:t>
      </w:r>
      <w:r>
        <w:rPr>
          <w:sz w:val="24"/>
          <w:szCs w:val="24"/>
        </w:rPr>
        <w:t xml:space="preserve"> Qtr SFY 2011</w:t>
      </w:r>
      <w:r w:rsidRPr="005D1BB3">
        <w:rPr>
          <w:sz w:val="24"/>
          <w:szCs w:val="24"/>
        </w:rPr>
        <w:t xml:space="preserve"> </w:t>
      </w:r>
      <w:r>
        <w:rPr>
          <w:sz w:val="24"/>
          <w:szCs w:val="24"/>
        </w:rPr>
        <w:t xml:space="preserve">– </w:t>
      </w:r>
      <w:r>
        <w:rPr>
          <w:sz w:val="24"/>
          <w:szCs w:val="24"/>
        </w:rPr>
        <w:tab/>
        <w:t>3%</w:t>
      </w:r>
      <w:r>
        <w:rPr>
          <w:sz w:val="24"/>
          <w:szCs w:val="24"/>
        </w:rPr>
        <w:tab/>
      </w:r>
      <w:r>
        <w:rPr>
          <w:sz w:val="24"/>
          <w:szCs w:val="24"/>
        </w:rPr>
        <w:tab/>
      </w:r>
      <w:r>
        <w:rPr>
          <w:sz w:val="24"/>
          <w:szCs w:val="24"/>
        </w:rPr>
        <w:tab/>
        <w:t>9%</w:t>
      </w:r>
    </w:p>
    <w:p w14:paraId="7B00B82E" w14:textId="77777777" w:rsidR="00596484" w:rsidRDefault="00596484" w:rsidP="00596484">
      <w:pPr>
        <w:pStyle w:val="NoSpacing"/>
        <w:rPr>
          <w:sz w:val="24"/>
          <w:szCs w:val="24"/>
        </w:rPr>
      </w:pPr>
      <w:r w:rsidRPr="005D1BB3">
        <w:rPr>
          <w:sz w:val="24"/>
          <w:szCs w:val="24"/>
        </w:rPr>
        <w:t>2</w:t>
      </w:r>
      <w:r w:rsidRPr="005D1BB3">
        <w:rPr>
          <w:sz w:val="24"/>
          <w:szCs w:val="24"/>
          <w:vertAlign w:val="superscript"/>
        </w:rPr>
        <w:t>nd</w:t>
      </w:r>
      <w:r>
        <w:rPr>
          <w:sz w:val="24"/>
          <w:szCs w:val="24"/>
        </w:rPr>
        <w:t xml:space="preserve"> Qtr SFY 2012</w:t>
      </w:r>
      <w:r w:rsidRPr="005D1BB3">
        <w:rPr>
          <w:sz w:val="24"/>
          <w:szCs w:val="24"/>
        </w:rPr>
        <w:t xml:space="preserve"> </w:t>
      </w:r>
      <w:r>
        <w:rPr>
          <w:sz w:val="24"/>
          <w:szCs w:val="24"/>
        </w:rPr>
        <w:t xml:space="preserve">– </w:t>
      </w:r>
      <w:r>
        <w:rPr>
          <w:sz w:val="24"/>
          <w:szCs w:val="24"/>
        </w:rPr>
        <w:tab/>
        <w:t>9%</w:t>
      </w:r>
      <w:r>
        <w:rPr>
          <w:sz w:val="24"/>
          <w:szCs w:val="24"/>
        </w:rPr>
        <w:tab/>
      </w:r>
      <w:r>
        <w:rPr>
          <w:sz w:val="24"/>
          <w:szCs w:val="24"/>
        </w:rPr>
        <w:tab/>
      </w:r>
      <w:r>
        <w:rPr>
          <w:sz w:val="24"/>
          <w:szCs w:val="24"/>
        </w:rPr>
        <w:tab/>
        <w:t>12%</w:t>
      </w:r>
    </w:p>
    <w:p w14:paraId="65A6A443" w14:textId="77777777" w:rsidR="00596484" w:rsidRPr="005D1BB3" w:rsidRDefault="00596484" w:rsidP="00596484">
      <w:pPr>
        <w:pStyle w:val="NoSpacing"/>
        <w:rPr>
          <w:sz w:val="24"/>
          <w:szCs w:val="24"/>
        </w:rPr>
      </w:pPr>
      <w:r w:rsidRPr="005D1BB3">
        <w:rPr>
          <w:sz w:val="24"/>
          <w:szCs w:val="24"/>
        </w:rPr>
        <w:t>2</w:t>
      </w:r>
      <w:r w:rsidRPr="005D1BB3">
        <w:rPr>
          <w:sz w:val="24"/>
          <w:szCs w:val="24"/>
          <w:vertAlign w:val="superscript"/>
        </w:rPr>
        <w:t>nd</w:t>
      </w:r>
      <w:r w:rsidRPr="005D1BB3">
        <w:rPr>
          <w:sz w:val="24"/>
          <w:szCs w:val="24"/>
        </w:rPr>
        <w:t xml:space="preserve"> Qtr SFY 2013 </w:t>
      </w:r>
      <w:r>
        <w:rPr>
          <w:sz w:val="24"/>
          <w:szCs w:val="24"/>
        </w:rPr>
        <w:t>–</w:t>
      </w:r>
      <w:r w:rsidRPr="005D1BB3">
        <w:rPr>
          <w:sz w:val="24"/>
          <w:szCs w:val="24"/>
        </w:rPr>
        <w:t xml:space="preserve"> </w:t>
      </w:r>
      <w:r>
        <w:rPr>
          <w:sz w:val="24"/>
          <w:szCs w:val="24"/>
        </w:rPr>
        <w:tab/>
        <w:t>6%</w:t>
      </w:r>
      <w:r>
        <w:rPr>
          <w:sz w:val="24"/>
          <w:szCs w:val="24"/>
        </w:rPr>
        <w:tab/>
      </w:r>
      <w:r>
        <w:rPr>
          <w:sz w:val="24"/>
          <w:szCs w:val="24"/>
        </w:rPr>
        <w:tab/>
      </w:r>
      <w:r>
        <w:rPr>
          <w:sz w:val="24"/>
          <w:szCs w:val="24"/>
        </w:rPr>
        <w:tab/>
        <w:t>9%</w:t>
      </w:r>
    </w:p>
    <w:p w14:paraId="44F87961" w14:textId="77777777" w:rsidR="00596484" w:rsidRPr="005D1BB3" w:rsidRDefault="00596484" w:rsidP="00596484">
      <w:pPr>
        <w:pStyle w:val="NoSpacing"/>
        <w:rPr>
          <w:sz w:val="24"/>
          <w:szCs w:val="24"/>
        </w:rPr>
      </w:pPr>
      <w:r w:rsidRPr="005D1BB3">
        <w:rPr>
          <w:sz w:val="24"/>
          <w:szCs w:val="24"/>
        </w:rPr>
        <w:t>2</w:t>
      </w:r>
      <w:r w:rsidRPr="005D1BB3">
        <w:rPr>
          <w:sz w:val="24"/>
          <w:szCs w:val="24"/>
          <w:vertAlign w:val="superscript"/>
        </w:rPr>
        <w:t>nd</w:t>
      </w:r>
      <w:r w:rsidRPr="005D1BB3">
        <w:rPr>
          <w:sz w:val="24"/>
          <w:szCs w:val="24"/>
        </w:rPr>
        <w:t xml:space="preserve"> Qtr SFY 2014 </w:t>
      </w:r>
      <w:r>
        <w:rPr>
          <w:sz w:val="24"/>
          <w:szCs w:val="24"/>
        </w:rPr>
        <w:t xml:space="preserve">– </w:t>
      </w:r>
      <w:r>
        <w:rPr>
          <w:sz w:val="24"/>
          <w:szCs w:val="24"/>
        </w:rPr>
        <w:tab/>
        <w:t>6%</w:t>
      </w:r>
      <w:r>
        <w:rPr>
          <w:sz w:val="24"/>
          <w:szCs w:val="24"/>
        </w:rPr>
        <w:tab/>
      </w:r>
      <w:r>
        <w:rPr>
          <w:sz w:val="24"/>
          <w:szCs w:val="24"/>
        </w:rPr>
        <w:tab/>
      </w:r>
      <w:r>
        <w:rPr>
          <w:sz w:val="24"/>
          <w:szCs w:val="24"/>
        </w:rPr>
        <w:tab/>
        <w:t>9%</w:t>
      </w:r>
    </w:p>
    <w:p w14:paraId="0B554C51" w14:textId="77777777" w:rsidR="00596484" w:rsidRPr="005D1BB3" w:rsidRDefault="00596484" w:rsidP="00596484">
      <w:pPr>
        <w:pStyle w:val="NoSpacing"/>
        <w:rPr>
          <w:sz w:val="24"/>
          <w:szCs w:val="24"/>
        </w:rPr>
      </w:pPr>
      <w:r w:rsidRPr="005D1BB3">
        <w:rPr>
          <w:sz w:val="24"/>
          <w:szCs w:val="24"/>
        </w:rPr>
        <w:t>2</w:t>
      </w:r>
      <w:r w:rsidRPr="005D1BB3">
        <w:rPr>
          <w:sz w:val="24"/>
          <w:szCs w:val="24"/>
          <w:vertAlign w:val="superscript"/>
        </w:rPr>
        <w:t>nd</w:t>
      </w:r>
      <w:r w:rsidRPr="005D1BB3">
        <w:rPr>
          <w:sz w:val="24"/>
          <w:szCs w:val="24"/>
        </w:rPr>
        <w:t xml:space="preserve"> Qtr SFY 2015 </w:t>
      </w:r>
      <w:r>
        <w:rPr>
          <w:sz w:val="24"/>
          <w:szCs w:val="24"/>
        </w:rPr>
        <w:t xml:space="preserve">– </w:t>
      </w:r>
      <w:r>
        <w:rPr>
          <w:sz w:val="24"/>
          <w:szCs w:val="24"/>
        </w:rPr>
        <w:tab/>
        <w:t>2%</w:t>
      </w:r>
      <w:r>
        <w:rPr>
          <w:sz w:val="24"/>
          <w:szCs w:val="24"/>
        </w:rPr>
        <w:tab/>
      </w:r>
      <w:r>
        <w:rPr>
          <w:sz w:val="24"/>
          <w:szCs w:val="24"/>
        </w:rPr>
        <w:tab/>
      </w:r>
      <w:r>
        <w:rPr>
          <w:sz w:val="24"/>
          <w:szCs w:val="24"/>
        </w:rPr>
        <w:tab/>
        <w:t>7%</w:t>
      </w:r>
    </w:p>
    <w:p w14:paraId="625D7D3D" w14:textId="77777777" w:rsidR="00596484" w:rsidRPr="005D1BB3" w:rsidRDefault="00596484" w:rsidP="00596484">
      <w:pPr>
        <w:pStyle w:val="NoSpacing"/>
        <w:rPr>
          <w:sz w:val="24"/>
          <w:szCs w:val="24"/>
        </w:rPr>
      </w:pPr>
    </w:p>
    <w:p w14:paraId="379A87BE" w14:textId="09892C41" w:rsidR="00FA004D" w:rsidRPr="004579BE" w:rsidRDefault="00FA004D" w:rsidP="00CB4A1B">
      <w:pPr>
        <w:pStyle w:val="NoSpacing"/>
        <w:rPr>
          <w:b/>
          <w:i/>
          <w:color w:val="FF0000"/>
          <w:sz w:val="24"/>
          <w:szCs w:val="24"/>
        </w:rPr>
      </w:pPr>
      <w:r w:rsidRPr="00FA004D">
        <w:rPr>
          <w:sz w:val="24"/>
          <w:szCs w:val="24"/>
        </w:rPr>
        <w:t>DCFS improved its performance by</w:t>
      </w:r>
      <w:r>
        <w:rPr>
          <w:sz w:val="24"/>
          <w:szCs w:val="24"/>
        </w:rPr>
        <w:t xml:space="preserve"> 6 percent in the 2</w:t>
      </w:r>
      <w:r w:rsidRPr="00FA004D">
        <w:rPr>
          <w:sz w:val="24"/>
          <w:szCs w:val="24"/>
          <w:vertAlign w:val="superscript"/>
        </w:rPr>
        <w:t>nd</w:t>
      </w:r>
      <w:r>
        <w:rPr>
          <w:sz w:val="24"/>
          <w:szCs w:val="24"/>
        </w:rPr>
        <w:t xml:space="preserve"> quarter of 2015.</w:t>
      </w:r>
      <w:r w:rsidR="004579BE">
        <w:rPr>
          <w:sz w:val="24"/>
          <w:szCs w:val="24"/>
        </w:rPr>
        <w:t xml:space="preserve"> </w:t>
      </w:r>
    </w:p>
    <w:p w14:paraId="3E566428" w14:textId="77777777" w:rsidR="00596484" w:rsidRDefault="00596484" w:rsidP="00CB4A1B">
      <w:pPr>
        <w:pStyle w:val="NoSpacing"/>
        <w:rPr>
          <w:b/>
          <w:i/>
          <w:sz w:val="24"/>
          <w:szCs w:val="24"/>
        </w:rPr>
      </w:pPr>
    </w:p>
    <w:p w14:paraId="134D2E19" w14:textId="77777777" w:rsidR="000D303D" w:rsidRDefault="00484EE9" w:rsidP="00CB4A1B">
      <w:pPr>
        <w:pStyle w:val="NoSpacing"/>
        <w:rPr>
          <w:b/>
          <w:i/>
          <w:sz w:val="24"/>
          <w:szCs w:val="24"/>
        </w:rPr>
      </w:pPr>
      <w:r w:rsidRPr="005D1BB3">
        <w:rPr>
          <w:b/>
          <w:i/>
          <w:sz w:val="24"/>
          <w:szCs w:val="24"/>
        </w:rPr>
        <w:t>Percent of Foster Families w</w:t>
      </w:r>
      <w:r w:rsidR="000D303D" w:rsidRPr="005D1BB3">
        <w:rPr>
          <w:b/>
          <w:i/>
          <w:sz w:val="24"/>
          <w:szCs w:val="24"/>
        </w:rPr>
        <w:t>ith True Reports of Maltreatment</w:t>
      </w:r>
    </w:p>
    <w:p w14:paraId="12EE2736" w14:textId="77777777" w:rsidR="00596484" w:rsidRDefault="00596484" w:rsidP="00CB4A1B">
      <w:pPr>
        <w:pStyle w:val="NoSpacing"/>
        <w:rPr>
          <w:b/>
          <w:i/>
          <w:sz w:val="24"/>
          <w:szCs w:val="24"/>
        </w:rPr>
      </w:pPr>
    </w:p>
    <w:p w14:paraId="556309F3" w14:textId="77777777" w:rsidR="00596484" w:rsidRDefault="00596484" w:rsidP="00596484">
      <w:pPr>
        <w:pStyle w:val="NoSpacing"/>
        <w:rPr>
          <w:sz w:val="24"/>
          <w:szCs w:val="24"/>
        </w:rPr>
      </w:pPr>
      <w:r w:rsidRPr="005D1BB3">
        <w:rPr>
          <w:sz w:val="24"/>
          <w:szCs w:val="24"/>
        </w:rPr>
        <w:t>2</w:t>
      </w:r>
      <w:r w:rsidRPr="005D1BB3">
        <w:rPr>
          <w:sz w:val="24"/>
          <w:szCs w:val="24"/>
          <w:vertAlign w:val="superscript"/>
        </w:rPr>
        <w:t>nd</w:t>
      </w:r>
      <w:r>
        <w:rPr>
          <w:sz w:val="24"/>
          <w:szCs w:val="24"/>
        </w:rPr>
        <w:t xml:space="preserve"> Qtr SFY 2011</w:t>
      </w:r>
      <w:r w:rsidRPr="005D1BB3">
        <w:rPr>
          <w:sz w:val="24"/>
          <w:szCs w:val="24"/>
        </w:rPr>
        <w:t xml:space="preserve"> </w:t>
      </w:r>
      <w:r>
        <w:rPr>
          <w:sz w:val="24"/>
          <w:szCs w:val="24"/>
        </w:rPr>
        <w:t>– 0.47%</w:t>
      </w:r>
    </w:p>
    <w:p w14:paraId="5381861E" w14:textId="77777777" w:rsidR="00596484" w:rsidRDefault="00596484" w:rsidP="00596484">
      <w:pPr>
        <w:pStyle w:val="NoSpacing"/>
        <w:rPr>
          <w:sz w:val="24"/>
          <w:szCs w:val="24"/>
        </w:rPr>
      </w:pPr>
      <w:r w:rsidRPr="005D1BB3">
        <w:rPr>
          <w:sz w:val="24"/>
          <w:szCs w:val="24"/>
        </w:rPr>
        <w:t>2</w:t>
      </w:r>
      <w:r w:rsidRPr="005D1BB3">
        <w:rPr>
          <w:sz w:val="24"/>
          <w:szCs w:val="24"/>
          <w:vertAlign w:val="superscript"/>
        </w:rPr>
        <w:t>nd</w:t>
      </w:r>
      <w:r>
        <w:rPr>
          <w:sz w:val="24"/>
          <w:szCs w:val="24"/>
        </w:rPr>
        <w:t xml:space="preserve"> Qtr SFY 2012</w:t>
      </w:r>
      <w:r w:rsidRPr="005D1BB3">
        <w:rPr>
          <w:sz w:val="24"/>
          <w:szCs w:val="24"/>
        </w:rPr>
        <w:t xml:space="preserve"> </w:t>
      </w:r>
      <w:r>
        <w:rPr>
          <w:sz w:val="24"/>
          <w:szCs w:val="24"/>
        </w:rPr>
        <w:t>– 0.13%</w:t>
      </w:r>
    </w:p>
    <w:p w14:paraId="2B031ABF" w14:textId="77777777" w:rsidR="00596484" w:rsidRPr="005D1BB3" w:rsidRDefault="00596484" w:rsidP="00596484">
      <w:pPr>
        <w:pStyle w:val="NoSpacing"/>
        <w:rPr>
          <w:sz w:val="24"/>
          <w:szCs w:val="24"/>
        </w:rPr>
      </w:pPr>
      <w:r w:rsidRPr="005D1BB3">
        <w:rPr>
          <w:sz w:val="24"/>
          <w:szCs w:val="24"/>
        </w:rPr>
        <w:t>2</w:t>
      </w:r>
      <w:r w:rsidRPr="005D1BB3">
        <w:rPr>
          <w:sz w:val="24"/>
          <w:szCs w:val="24"/>
          <w:vertAlign w:val="superscript"/>
        </w:rPr>
        <w:t>nd</w:t>
      </w:r>
      <w:r w:rsidRPr="005D1BB3">
        <w:rPr>
          <w:sz w:val="24"/>
          <w:szCs w:val="24"/>
        </w:rPr>
        <w:t xml:space="preserve"> Qtr SFY 2013 </w:t>
      </w:r>
      <w:r>
        <w:rPr>
          <w:sz w:val="24"/>
          <w:szCs w:val="24"/>
        </w:rPr>
        <w:t>–</w:t>
      </w:r>
      <w:r w:rsidRPr="005D1BB3">
        <w:rPr>
          <w:sz w:val="24"/>
          <w:szCs w:val="24"/>
        </w:rPr>
        <w:t xml:space="preserve"> </w:t>
      </w:r>
      <w:r>
        <w:rPr>
          <w:sz w:val="24"/>
          <w:szCs w:val="24"/>
        </w:rPr>
        <w:t>0.33%</w:t>
      </w:r>
    </w:p>
    <w:p w14:paraId="3125CFCE" w14:textId="77777777" w:rsidR="00596484" w:rsidRPr="005D1BB3" w:rsidRDefault="00596484" w:rsidP="00596484">
      <w:pPr>
        <w:pStyle w:val="NoSpacing"/>
        <w:rPr>
          <w:sz w:val="24"/>
          <w:szCs w:val="24"/>
        </w:rPr>
      </w:pPr>
      <w:r w:rsidRPr="005D1BB3">
        <w:rPr>
          <w:sz w:val="24"/>
          <w:szCs w:val="24"/>
        </w:rPr>
        <w:t>2</w:t>
      </w:r>
      <w:r w:rsidRPr="005D1BB3">
        <w:rPr>
          <w:sz w:val="24"/>
          <w:szCs w:val="24"/>
          <w:vertAlign w:val="superscript"/>
        </w:rPr>
        <w:t>nd</w:t>
      </w:r>
      <w:r w:rsidRPr="005D1BB3">
        <w:rPr>
          <w:sz w:val="24"/>
          <w:szCs w:val="24"/>
        </w:rPr>
        <w:t xml:space="preserve"> Qtr SFY 2014 </w:t>
      </w:r>
      <w:r>
        <w:rPr>
          <w:sz w:val="24"/>
          <w:szCs w:val="24"/>
        </w:rPr>
        <w:t>– 0.36%</w:t>
      </w:r>
    </w:p>
    <w:p w14:paraId="12A1D114" w14:textId="77777777" w:rsidR="00596484" w:rsidRPr="00596484" w:rsidRDefault="00596484" w:rsidP="00CB4A1B">
      <w:pPr>
        <w:pStyle w:val="NoSpacing"/>
        <w:rPr>
          <w:sz w:val="24"/>
          <w:szCs w:val="24"/>
        </w:rPr>
      </w:pPr>
      <w:r w:rsidRPr="005D1BB3">
        <w:rPr>
          <w:sz w:val="24"/>
          <w:szCs w:val="24"/>
        </w:rPr>
        <w:t>2</w:t>
      </w:r>
      <w:r w:rsidRPr="005D1BB3">
        <w:rPr>
          <w:sz w:val="24"/>
          <w:szCs w:val="24"/>
          <w:vertAlign w:val="superscript"/>
        </w:rPr>
        <w:t>nd</w:t>
      </w:r>
      <w:r>
        <w:rPr>
          <w:sz w:val="24"/>
          <w:szCs w:val="24"/>
        </w:rPr>
        <w:t xml:space="preserve"> Qtr SFY 2015 – 0.30%</w:t>
      </w:r>
    </w:p>
    <w:p w14:paraId="64DEAB6E" w14:textId="77777777" w:rsidR="00FA004D" w:rsidRDefault="00FA004D" w:rsidP="00CB4A1B">
      <w:pPr>
        <w:pStyle w:val="NoSpacing"/>
        <w:rPr>
          <w:b/>
          <w:i/>
          <w:sz w:val="24"/>
          <w:szCs w:val="24"/>
        </w:rPr>
      </w:pPr>
    </w:p>
    <w:p w14:paraId="4D637985" w14:textId="4E48C4EF" w:rsidR="00FA004D" w:rsidRDefault="000B0A26" w:rsidP="00CB4A1B">
      <w:pPr>
        <w:pStyle w:val="NoSpacing"/>
        <w:rPr>
          <w:color w:val="FF0000"/>
          <w:sz w:val="24"/>
          <w:szCs w:val="24"/>
        </w:rPr>
      </w:pPr>
      <w:r>
        <w:rPr>
          <w:sz w:val="24"/>
          <w:szCs w:val="24"/>
        </w:rPr>
        <w:t>The Children’s Bureau</w:t>
      </w:r>
      <w:r w:rsidR="00FA004D" w:rsidRPr="00FA004D">
        <w:rPr>
          <w:sz w:val="24"/>
          <w:szCs w:val="24"/>
        </w:rPr>
        <w:t xml:space="preserve"> and</w:t>
      </w:r>
      <w:r w:rsidR="00FA004D">
        <w:rPr>
          <w:sz w:val="24"/>
          <w:szCs w:val="24"/>
        </w:rPr>
        <w:t xml:space="preserve"> c</w:t>
      </w:r>
      <w:r w:rsidR="00FA004D" w:rsidRPr="00FA004D">
        <w:rPr>
          <w:sz w:val="24"/>
          <w:szCs w:val="24"/>
        </w:rPr>
        <w:t xml:space="preserve">hild welfare systems </w:t>
      </w:r>
      <w:r w:rsidR="00FA004D">
        <w:rPr>
          <w:sz w:val="24"/>
          <w:szCs w:val="24"/>
        </w:rPr>
        <w:t>track the incidence of maltreatment of foster care specifically.</w:t>
      </w:r>
      <w:r w:rsidR="007438DE">
        <w:rPr>
          <w:sz w:val="24"/>
          <w:szCs w:val="24"/>
        </w:rPr>
        <w:t xml:space="preserve">  The incidence of child maltreatment in family foster care </w:t>
      </w:r>
      <w:r w:rsidR="008B28E7">
        <w:rPr>
          <w:sz w:val="24"/>
          <w:szCs w:val="24"/>
        </w:rPr>
        <w:t xml:space="preserve">In Arkansas </w:t>
      </w:r>
      <w:r w:rsidR="007438DE">
        <w:rPr>
          <w:sz w:val="24"/>
          <w:szCs w:val="24"/>
        </w:rPr>
        <w:t xml:space="preserve">declined over the past three years.  </w:t>
      </w:r>
    </w:p>
    <w:p w14:paraId="7C39C5FE" w14:textId="77777777" w:rsidR="00910B1E" w:rsidRDefault="00910B1E" w:rsidP="00CB4A1B">
      <w:pPr>
        <w:pStyle w:val="NoSpacing"/>
        <w:rPr>
          <w:color w:val="FF0000"/>
          <w:sz w:val="24"/>
          <w:szCs w:val="24"/>
        </w:rPr>
      </w:pPr>
    </w:p>
    <w:p w14:paraId="4F6DA9F1" w14:textId="77777777" w:rsidR="0066243C" w:rsidRDefault="00910B1E" w:rsidP="00484EE9">
      <w:pPr>
        <w:pStyle w:val="NoSpacing"/>
        <w:rPr>
          <w:b/>
          <w:i/>
          <w:sz w:val="24"/>
          <w:szCs w:val="24"/>
        </w:rPr>
      </w:pPr>
      <w:r w:rsidRPr="00910B1E">
        <w:rPr>
          <w:b/>
          <w:i/>
          <w:sz w:val="24"/>
          <w:szCs w:val="24"/>
        </w:rPr>
        <w:t>Efforts to Protect Children in their own Home</w:t>
      </w:r>
    </w:p>
    <w:p w14:paraId="3D1D6861" w14:textId="77777777" w:rsidR="009278C2" w:rsidRDefault="009278C2" w:rsidP="00484EE9">
      <w:pPr>
        <w:pStyle w:val="NoSpacing"/>
        <w:rPr>
          <w:sz w:val="24"/>
          <w:szCs w:val="24"/>
        </w:rPr>
      </w:pPr>
    </w:p>
    <w:p w14:paraId="2C3A254F" w14:textId="2D5EDA8F" w:rsidR="0066243C" w:rsidRDefault="0066243C" w:rsidP="00484EE9">
      <w:pPr>
        <w:pStyle w:val="NoSpacing"/>
        <w:rPr>
          <w:sz w:val="24"/>
          <w:szCs w:val="24"/>
        </w:rPr>
      </w:pPr>
      <w:r>
        <w:rPr>
          <w:sz w:val="24"/>
          <w:szCs w:val="24"/>
        </w:rPr>
        <w:t xml:space="preserve">DCFS assesses its safety performance by other means in addition to </w:t>
      </w:r>
      <w:r w:rsidR="00910B1E">
        <w:rPr>
          <w:sz w:val="24"/>
          <w:szCs w:val="24"/>
        </w:rPr>
        <w:t xml:space="preserve">measuring </w:t>
      </w:r>
      <w:r>
        <w:rPr>
          <w:sz w:val="24"/>
          <w:szCs w:val="24"/>
        </w:rPr>
        <w:t xml:space="preserve">outcomes.  The </w:t>
      </w:r>
      <w:r w:rsidR="008B28E7">
        <w:rPr>
          <w:sz w:val="24"/>
          <w:szCs w:val="24"/>
        </w:rPr>
        <w:t xml:space="preserve">following </w:t>
      </w:r>
      <w:r>
        <w:rPr>
          <w:sz w:val="24"/>
          <w:szCs w:val="24"/>
        </w:rPr>
        <w:t xml:space="preserve">table shows system performance related to efforts to assess risk and safety concerns for cases where children are in their own homes.  The following table shows a </w:t>
      </w:r>
      <w:r w:rsidR="008B28E7">
        <w:rPr>
          <w:sz w:val="24"/>
          <w:szCs w:val="24"/>
        </w:rPr>
        <w:t>improvement</w:t>
      </w:r>
      <w:r w:rsidR="00910B1E">
        <w:rPr>
          <w:sz w:val="24"/>
          <w:szCs w:val="24"/>
        </w:rPr>
        <w:t xml:space="preserve"> in performance </w:t>
      </w:r>
      <w:r w:rsidR="008B28E7">
        <w:rPr>
          <w:sz w:val="24"/>
          <w:szCs w:val="24"/>
        </w:rPr>
        <w:t xml:space="preserve">of 7 % </w:t>
      </w:r>
      <w:r w:rsidR="00910B1E">
        <w:rPr>
          <w:sz w:val="24"/>
          <w:szCs w:val="24"/>
        </w:rPr>
        <w:t>between 2011</w:t>
      </w:r>
      <w:r w:rsidR="00464D08">
        <w:rPr>
          <w:sz w:val="24"/>
          <w:szCs w:val="24"/>
        </w:rPr>
        <w:t xml:space="preserve"> and 2013</w:t>
      </w:r>
      <w:r>
        <w:rPr>
          <w:sz w:val="24"/>
          <w:szCs w:val="24"/>
        </w:rPr>
        <w:t xml:space="preserve"> despite continuing high workloads.  However, the system still does not meet the national standard of 90%</w:t>
      </w:r>
      <w:r w:rsidR="00910B1E">
        <w:rPr>
          <w:sz w:val="24"/>
          <w:szCs w:val="24"/>
        </w:rPr>
        <w:t xml:space="preserve">.  These data are produced by case reviews </w:t>
      </w:r>
      <w:r w:rsidR="00CF5E2D">
        <w:rPr>
          <w:sz w:val="24"/>
          <w:szCs w:val="24"/>
        </w:rPr>
        <w:t xml:space="preserve">conducted </w:t>
      </w:r>
      <w:r w:rsidR="00910B1E">
        <w:rPr>
          <w:sz w:val="24"/>
          <w:szCs w:val="24"/>
        </w:rPr>
        <w:t>by quality assurance staff.</w:t>
      </w:r>
    </w:p>
    <w:p w14:paraId="4DB619E5" w14:textId="77777777" w:rsidR="0066243C" w:rsidRDefault="0066243C" w:rsidP="00484EE9">
      <w:pPr>
        <w:pStyle w:val="NoSpacing"/>
        <w:rPr>
          <w:sz w:val="24"/>
          <w:szCs w:val="24"/>
        </w:rPr>
      </w:pPr>
    </w:p>
    <w:p w14:paraId="5E0C49FF" w14:textId="77777777" w:rsidR="00382064" w:rsidRDefault="00382064" w:rsidP="00484EE9">
      <w:pPr>
        <w:pStyle w:val="NoSpacing"/>
        <w:rPr>
          <w:sz w:val="24"/>
          <w:szCs w:val="24"/>
        </w:rPr>
      </w:pPr>
    </w:p>
    <w:p w14:paraId="187F9361" w14:textId="77777777" w:rsidR="00382064" w:rsidRDefault="00382064" w:rsidP="00484EE9">
      <w:pPr>
        <w:pStyle w:val="NoSpacing"/>
        <w:rPr>
          <w:sz w:val="24"/>
          <w:szCs w:val="24"/>
        </w:rPr>
      </w:pPr>
    </w:p>
    <w:p w14:paraId="7145BE9C" w14:textId="77777777" w:rsidR="00382064" w:rsidRDefault="00382064" w:rsidP="00484EE9">
      <w:pPr>
        <w:pStyle w:val="NoSpacing"/>
        <w:rPr>
          <w:sz w:val="24"/>
          <w:szCs w:val="24"/>
        </w:rPr>
      </w:pPr>
    </w:p>
    <w:tbl>
      <w:tblPr>
        <w:tblW w:w="8475" w:type="dxa"/>
        <w:jc w:val="center"/>
        <w:tblLook w:val="04A0" w:firstRow="1" w:lastRow="0" w:firstColumn="1" w:lastColumn="0" w:noHBand="0" w:noVBand="1"/>
      </w:tblPr>
      <w:tblGrid>
        <w:gridCol w:w="1635"/>
        <w:gridCol w:w="2340"/>
        <w:gridCol w:w="2250"/>
        <w:gridCol w:w="2250"/>
      </w:tblGrid>
      <w:tr w:rsidR="00BA5B36" w:rsidRPr="005D1BB3" w14:paraId="0CA7B162" w14:textId="77777777" w:rsidTr="004873C0">
        <w:trPr>
          <w:trHeight w:val="300"/>
          <w:tblHeader/>
          <w:jc w:val="center"/>
        </w:trPr>
        <w:tc>
          <w:tcPr>
            <w:tcW w:w="8475" w:type="dxa"/>
            <w:gridSpan w:val="4"/>
            <w:tcBorders>
              <w:top w:val="nil"/>
              <w:left w:val="single" w:sz="4" w:space="0" w:color="auto"/>
              <w:bottom w:val="nil"/>
              <w:right w:val="single" w:sz="4" w:space="0" w:color="000000"/>
            </w:tcBorders>
            <w:shd w:val="clear" w:color="000000" w:fill="000000"/>
            <w:noWrap/>
            <w:vAlign w:val="center"/>
            <w:hideMark/>
          </w:tcPr>
          <w:p w14:paraId="1BAE66BA" w14:textId="77777777" w:rsidR="00BA5B36" w:rsidRPr="005D1BB3" w:rsidRDefault="00BA5B36" w:rsidP="004873C0">
            <w:pPr>
              <w:jc w:val="center"/>
              <w:rPr>
                <w:b/>
                <w:bCs/>
                <w:color w:val="FFFFFF"/>
                <w:sz w:val="24"/>
                <w:szCs w:val="24"/>
              </w:rPr>
            </w:pPr>
          </w:p>
        </w:tc>
      </w:tr>
      <w:tr w:rsidR="00BA5B36" w:rsidRPr="005D1BB3" w14:paraId="53420776" w14:textId="77777777" w:rsidTr="004873C0">
        <w:trPr>
          <w:trHeight w:val="300"/>
          <w:tblHeader/>
          <w:jc w:val="center"/>
        </w:trPr>
        <w:tc>
          <w:tcPr>
            <w:tcW w:w="8475" w:type="dxa"/>
            <w:gridSpan w:val="4"/>
            <w:tcBorders>
              <w:top w:val="nil"/>
              <w:left w:val="single" w:sz="4" w:space="0" w:color="auto"/>
              <w:bottom w:val="nil"/>
              <w:right w:val="single" w:sz="4" w:space="0" w:color="000000"/>
            </w:tcBorders>
            <w:shd w:val="clear" w:color="000000" w:fill="000000"/>
            <w:noWrap/>
            <w:vAlign w:val="center"/>
            <w:hideMark/>
          </w:tcPr>
          <w:p w14:paraId="184CBED7" w14:textId="77777777" w:rsidR="00BA5B36" w:rsidRPr="005D1BB3" w:rsidRDefault="00BA5B36" w:rsidP="004873C0">
            <w:pPr>
              <w:jc w:val="center"/>
              <w:rPr>
                <w:b/>
                <w:bCs/>
                <w:color w:val="FFFFFF"/>
                <w:sz w:val="24"/>
                <w:szCs w:val="24"/>
              </w:rPr>
            </w:pPr>
            <w:r w:rsidRPr="005D1BB3">
              <w:rPr>
                <w:b/>
                <w:bCs/>
                <w:color w:val="FFFFFF"/>
                <w:sz w:val="24"/>
                <w:szCs w:val="24"/>
              </w:rPr>
              <w:t>Assessing and Addressing Risk of Harm to Children</w:t>
            </w:r>
          </w:p>
        </w:tc>
      </w:tr>
      <w:tr w:rsidR="00BA5B36" w:rsidRPr="005D1BB3" w14:paraId="537203EF" w14:textId="77777777" w:rsidTr="004873C0">
        <w:trPr>
          <w:trHeight w:val="300"/>
          <w:tblHeader/>
          <w:jc w:val="center"/>
        </w:trPr>
        <w:tc>
          <w:tcPr>
            <w:tcW w:w="8475" w:type="dxa"/>
            <w:gridSpan w:val="4"/>
            <w:tcBorders>
              <w:top w:val="nil"/>
              <w:left w:val="single" w:sz="4" w:space="0" w:color="auto"/>
              <w:bottom w:val="nil"/>
              <w:right w:val="single" w:sz="4" w:space="0" w:color="000000"/>
            </w:tcBorders>
            <w:shd w:val="clear" w:color="000000" w:fill="000000"/>
            <w:noWrap/>
            <w:vAlign w:val="center"/>
            <w:hideMark/>
          </w:tcPr>
          <w:p w14:paraId="27250D0A" w14:textId="77777777" w:rsidR="00BA5B36" w:rsidRPr="005D1BB3" w:rsidRDefault="00BA5B36" w:rsidP="004873C0">
            <w:pPr>
              <w:jc w:val="center"/>
              <w:rPr>
                <w:b/>
                <w:bCs/>
                <w:color w:val="FFFFFF"/>
                <w:sz w:val="24"/>
                <w:szCs w:val="24"/>
              </w:rPr>
            </w:pPr>
            <w:r w:rsidRPr="005D1BB3">
              <w:rPr>
                <w:b/>
                <w:bCs/>
                <w:color w:val="FFFFFF"/>
                <w:sz w:val="24"/>
                <w:szCs w:val="24"/>
              </w:rPr>
              <w:t> </w:t>
            </w:r>
          </w:p>
        </w:tc>
      </w:tr>
      <w:tr w:rsidR="00BA5B36" w:rsidRPr="005D1BB3" w14:paraId="25F32417" w14:textId="77777777" w:rsidTr="004873C0">
        <w:trPr>
          <w:trHeight w:val="300"/>
          <w:tblHeader/>
          <w:jc w:val="center"/>
        </w:trPr>
        <w:tc>
          <w:tcPr>
            <w:tcW w:w="8475" w:type="dxa"/>
            <w:gridSpan w:val="4"/>
            <w:tcBorders>
              <w:top w:val="nil"/>
              <w:left w:val="single" w:sz="4" w:space="0" w:color="auto"/>
              <w:bottom w:val="nil"/>
              <w:right w:val="single" w:sz="4" w:space="0" w:color="000000"/>
            </w:tcBorders>
            <w:shd w:val="clear" w:color="000000" w:fill="000000"/>
            <w:noWrap/>
            <w:vAlign w:val="center"/>
            <w:hideMark/>
          </w:tcPr>
          <w:p w14:paraId="580DD6B8" w14:textId="77777777" w:rsidR="00BA5B36" w:rsidRPr="005D1BB3" w:rsidRDefault="00BA5B36" w:rsidP="004873C0">
            <w:pPr>
              <w:jc w:val="center"/>
              <w:rPr>
                <w:b/>
                <w:bCs/>
                <w:i/>
                <w:iCs/>
                <w:color w:val="FFFFFF"/>
                <w:sz w:val="24"/>
                <w:szCs w:val="24"/>
              </w:rPr>
            </w:pPr>
            <w:r w:rsidRPr="005D1BB3">
              <w:rPr>
                <w:b/>
                <w:bCs/>
                <w:i/>
                <w:iCs/>
                <w:color w:val="FFFFFF"/>
                <w:sz w:val="24"/>
                <w:szCs w:val="24"/>
              </w:rPr>
              <w:t>Percentage (%) of Total Cases in which DCFS Staff Made Efforts to</w:t>
            </w:r>
          </w:p>
        </w:tc>
      </w:tr>
      <w:tr w:rsidR="00BA5B36" w:rsidRPr="005D1BB3" w14:paraId="03A0DCE7" w14:textId="77777777" w:rsidTr="004873C0">
        <w:trPr>
          <w:trHeight w:val="300"/>
          <w:tblHeader/>
          <w:jc w:val="center"/>
        </w:trPr>
        <w:tc>
          <w:tcPr>
            <w:tcW w:w="8475" w:type="dxa"/>
            <w:gridSpan w:val="4"/>
            <w:tcBorders>
              <w:top w:val="nil"/>
              <w:left w:val="single" w:sz="4" w:space="0" w:color="auto"/>
              <w:bottom w:val="nil"/>
              <w:right w:val="single" w:sz="4" w:space="0" w:color="000000"/>
            </w:tcBorders>
            <w:shd w:val="clear" w:color="000000" w:fill="000000"/>
            <w:noWrap/>
            <w:vAlign w:val="center"/>
            <w:hideMark/>
          </w:tcPr>
          <w:p w14:paraId="7BBC58A0" w14:textId="77777777" w:rsidR="00BA5B36" w:rsidRPr="005D1BB3" w:rsidRDefault="00BA5B36" w:rsidP="004873C0">
            <w:pPr>
              <w:jc w:val="center"/>
              <w:rPr>
                <w:b/>
                <w:bCs/>
                <w:i/>
                <w:iCs/>
                <w:color w:val="FFFFFF"/>
                <w:sz w:val="24"/>
                <w:szCs w:val="24"/>
              </w:rPr>
            </w:pPr>
            <w:r w:rsidRPr="005D1BB3">
              <w:rPr>
                <w:b/>
                <w:bCs/>
                <w:i/>
                <w:iCs/>
                <w:color w:val="FFFFFF"/>
                <w:sz w:val="24"/>
                <w:szCs w:val="24"/>
              </w:rPr>
              <w:t>Assess and Address the Risk and Safety Concerns in the Children's Home</w:t>
            </w:r>
          </w:p>
        </w:tc>
      </w:tr>
      <w:tr w:rsidR="00BA5B36" w:rsidRPr="005D1BB3" w14:paraId="401F67F8" w14:textId="77777777" w:rsidTr="004873C0">
        <w:trPr>
          <w:trHeight w:val="300"/>
          <w:tblHeader/>
          <w:jc w:val="center"/>
        </w:trPr>
        <w:tc>
          <w:tcPr>
            <w:tcW w:w="8475" w:type="dxa"/>
            <w:gridSpan w:val="4"/>
            <w:tcBorders>
              <w:top w:val="nil"/>
              <w:left w:val="single" w:sz="4" w:space="0" w:color="auto"/>
              <w:bottom w:val="nil"/>
              <w:right w:val="single" w:sz="4" w:space="0" w:color="000000"/>
            </w:tcBorders>
            <w:shd w:val="clear" w:color="000000" w:fill="000000"/>
            <w:noWrap/>
            <w:vAlign w:val="center"/>
            <w:hideMark/>
          </w:tcPr>
          <w:p w14:paraId="4D473740" w14:textId="77777777" w:rsidR="00BA5B36" w:rsidRPr="005D1BB3" w:rsidRDefault="00BA5B36" w:rsidP="004873C0">
            <w:pPr>
              <w:jc w:val="center"/>
              <w:rPr>
                <w:b/>
                <w:bCs/>
                <w:color w:val="FFFFFF"/>
                <w:sz w:val="24"/>
                <w:szCs w:val="24"/>
              </w:rPr>
            </w:pPr>
            <w:r w:rsidRPr="005D1BB3">
              <w:rPr>
                <w:b/>
                <w:bCs/>
                <w:color w:val="FFFFFF"/>
                <w:sz w:val="24"/>
                <w:szCs w:val="24"/>
              </w:rPr>
              <w:t> </w:t>
            </w:r>
          </w:p>
        </w:tc>
      </w:tr>
      <w:tr w:rsidR="00BA5B36" w:rsidRPr="005D1BB3" w14:paraId="0E7D8A72" w14:textId="77777777" w:rsidTr="004873C0">
        <w:trPr>
          <w:trHeight w:val="300"/>
          <w:tblHeader/>
          <w:jc w:val="center"/>
        </w:trPr>
        <w:tc>
          <w:tcPr>
            <w:tcW w:w="1635" w:type="dxa"/>
            <w:tcBorders>
              <w:top w:val="nil"/>
              <w:left w:val="single" w:sz="4" w:space="0" w:color="auto"/>
              <w:bottom w:val="nil"/>
              <w:right w:val="nil"/>
            </w:tcBorders>
            <w:shd w:val="clear" w:color="000000" w:fill="000000"/>
            <w:noWrap/>
            <w:vAlign w:val="center"/>
            <w:hideMark/>
          </w:tcPr>
          <w:p w14:paraId="0FE46725" w14:textId="77777777" w:rsidR="00BA5B36" w:rsidRPr="005D1BB3" w:rsidRDefault="00BA5B36" w:rsidP="004873C0">
            <w:pPr>
              <w:jc w:val="center"/>
              <w:rPr>
                <w:b/>
                <w:bCs/>
                <w:color w:val="FFFFFF"/>
                <w:sz w:val="24"/>
                <w:szCs w:val="24"/>
              </w:rPr>
            </w:pPr>
            <w:r w:rsidRPr="005D1BB3">
              <w:rPr>
                <w:b/>
                <w:bCs/>
                <w:color w:val="FFFFFF"/>
                <w:sz w:val="24"/>
                <w:szCs w:val="24"/>
              </w:rPr>
              <w:t>Area</w:t>
            </w:r>
          </w:p>
        </w:tc>
        <w:tc>
          <w:tcPr>
            <w:tcW w:w="2340" w:type="dxa"/>
            <w:tcBorders>
              <w:top w:val="nil"/>
              <w:left w:val="nil"/>
              <w:bottom w:val="nil"/>
              <w:right w:val="nil"/>
            </w:tcBorders>
            <w:shd w:val="clear" w:color="000000" w:fill="000000"/>
            <w:noWrap/>
            <w:vAlign w:val="center"/>
          </w:tcPr>
          <w:p w14:paraId="4855A5F2" w14:textId="77777777" w:rsidR="00BA5B36" w:rsidRPr="005D1BB3" w:rsidRDefault="00BA5B36" w:rsidP="004873C0">
            <w:pPr>
              <w:jc w:val="center"/>
              <w:rPr>
                <w:b/>
                <w:bCs/>
                <w:color w:val="FFFFFF"/>
                <w:sz w:val="24"/>
                <w:szCs w:val="24"/>
              </w:rPr>
            </w:pPr>
            <w:r w:rsidRPr="005D1BB3">
              <w:rPr>
                <w:b/>
                <w:bCs/>
                <w:color w:val="FFFFFF"/>
                <w:sz w:val="24"/>
                <w:szCs w:val="24"/>
              </w:rPr>
              <w:t>2011</w:t>
            </w:r>
          </w:p>
        </w:tc>
        <w:tc>
          <w:tcPr>
            <w:tcW w:w="2250" w:type="dxa"/>
            <w:tcBorders>
              <w:top w:val="nil"/>
              <w:left w:val="nil"/>
              <w:bottom w:val="nil"/>
              <w:right w:val="nil"/>
            </w:tcBorders>
            <w:shd w:val="clear" w:color="000000" w:fill="000000"/>
            <w:noWrap/>
            <w:vAlign w:val="center"/>
          </w:tcPr>
          <w:p w14:paraId="18CC14E6" w14:textId="77777777" w:rsidR="00BA5B36" w:rsidRPr="005D1BB3" w:rsidRDefault="00BA5B36" w:rsidP="004873C0">
            <w:pPr>
              <w:jc w:val="center"/>
              <w:rPr>
                <w:b/>
                <w:bCs/>
                <w:color w:val="FFFFFF"/>
                <w:sz w:val="24"/>
                <w:szCs w:val="24"/>
              </w:rPr>
            </w:pPr>
            <w:r w:rsidRPr="005D1BB3">
              <w:rPr>
                <w:b/>
                <w:bCs/>
                <w:color w:val="FFFFFF"/>
                <w:sz w:val="24"/>
                <w:szCs w:val="24"/>
              </w:rPr>
              <w:t>2012</w:t>
            </w:r>
          </w:p>
        </w:tc>
        <w:tc>
          <w:tcPr>
            <w:tcW w:w="2250" w:type="dxa"/>
            <w:tcBorders>
              <w:top w:val="nil"/>
              <w:left w:val="nil"/>
              <w:bottom w:val="nil"/>
              <w:right w:val="single" w:sz="4" w:space="0" w:color="auto"/>
            </w:tcBorders>
            <w:shd w:val="clear" w:color="000000" w:fill="000000"/>
            <w:noWrap/>
            <w:vAlign w:val="center"/>
          </w:tcPr>
          <w:p w14:paraId="684A892E" w14:textId="77777777" w:rsidR="00BA5B36" w:rsidRPr="005D1BB3" w:rsidRDefault="00BA5B36" w:rsidP="004873C0">
            <w:pPr>
              <w:jc w:val="center"/>
              <w:rPr>
                <w:b/>
                <w:bCs/>
                <w:color w:val="FFFFFF"/>
                <w:sz w:val="24"/>
                <w:szCs w:val="24"/>
              </w:rPr>
            </w:pPr>
            <w:r w:rsidRPr="005D1BB3">
              <w:rPr>
                <w:b/>
                <w:bCs/>
                <w:color w:val="FFFFFF"/>
                <w:sz w:val="24"/>
                <w:szCs w:val="24"/>
              </w:rPr>
              <w:t>2013</w:t>
            </w:r>
          </w:p>
        </w:tc>
      </w:tr>
      <w:tr w:rsidR="00BA5B36" w:rsidRPr="005D1BB3" w14:paraId="31782226" w14:textId="77777777" w:rsidTr="004873C0">
        <w:trPr>
          <w:trHeight w:val="300"/>
          <w:jc w:val="center"/>
        </w:trPr>
        <w:tc>
          <w:tcPr>
            <w:tcW w:w="1635" w:type="dxa"/>
            <w:tcBorders>
              <w:top w:val="single" w:sz="4" w:space="0" w:color="auto"/>
              <w:left w:val="single" w:sz="4" w:space="0" w:color="auto"/>
              <w:bottom w:val="nil"/>
              <w:right w:val="nil"/>
            </w:tcBorders>
            <w:shd w:val="clear" w:color="auto" w:fill="auto"/>
            <w:noWrap/>
            <w:vAlign w:val="center"/>
            <w:hideMark/>
          </w:tcPr>
          <w:p w14:paraId="0134FE00" w14:textId="77777777" w:rsidR="00BA5B36" w:rsidRPr="005D1BB3" w:rsidRDefault="00BA5B36" w:rsidP="004873C0">
            <w:pPr>
              <w:ind w:right="522"/>
              <w:jc w:val="right"/>
              <w:rPr>
                <w:sz w:val="24"/>
                <w:szCs w:val="24"/>
              </w:rPr>
            </w:pPr>
            <w:r w:rsidRPr="005D1BB3">
              <w:rPr>
                <w:sz w:val="24"/>
                <w:szCs w:val="24"/>
              </w:rPr>
              <w:t>1</w:t>
            </w:r>
          </w:p>
        </w:tc>
        <w:tc>
          <w:tcPr>
            <w:tcW w:w="2340" w:type="dxa"/>
            <w:tcBorders>
              <w:top w:val="single" w:sz="4" w:space="0" w:color="auto"/>
              <w:left w:val="single" w:sz="4" w:space="0" w:color="auto"/>
              <w:bottom w:val="nil"/>
              <w:right w:val="single" w:sz="4" w:space="0" w:color="auto"/>
            </w:tcBorders>
            <w:shd w:val="clear" w:color="auto" w:fill="auto"/>
            <w:noWrap/>
            <w:vAlign w:val="center"/>
          </w:tcPr>
          <w:p w14:paraId="6900FD85" w14:textId="77777777" w:rsidR="00BA5B36" w:rsidRPr="005D1BB3" w:rsidRDefault="00BA5B36" w:rsidP="004873C0">
            <w:pPr>
              <w:jc w:val="center"/>
              <w:rPr>
                <w:sz w:val="24"/>
                <w:szCs w:val="24"/>
              </w:rPr>
            </w:pPr>
            <w:r w:rsidRPr="005D1BB3">
              <w:rPr>
                <w:sz w:val="24"/>
                <w:szCs w:val="24"/>
              </w:rPr>
              <w:t>46.7</w:t>
            </w:r>
          </w:p>
        </w:tc>
        <w:tc>
          <w:tcPr>
            <w:tcW w:w="2250" w:type="dxa"/>
            <w:tcBorders>
              <w:top w:val="single" w:sz="4" w:space="0" w:color="auto"/>
              <w:left w:val="nil"/>
              <w:bottom w:val="nil"/>
              <w:right w:val="single" w:sz="4" w:space="0" w:color="auto"/>
            </w:tcBorders>
            <w:shd w:val="clear" w:color="auto" w:fill="auto"/>
            <w:noWrap/>
            <w:vAlign w:val="center"/>
          </w:tcPr>
          <w:p w14:paraId="660AC802" w14:textId="77777777" w:rsidR="00BA5B36" w:rsidRPr="005D1BB3" w:rsidRDefault="00BA5B36" w:rsidP="004873C0">
            <w:pPr>
              <w:jc w:val="center"/>
              <w:rPr>
                <w:sz w:val="24"/>
                <w:szCs w:val="24"/>
              </w:rPr>
            </w:pPr>
            <w:r w:rsidRPr="005D1BB3">
              <w:rPr>
                <w:sz w:val="24"/>
                <w:szCs w:val="24"/>
              </w:rPr>
              <w:t>43.3</w:t>
            </w:r>
          </w:p>
        </w:tc>
        <w:tc>
          <w:tcPr>
            <w:tcW w:w="2250" w:type="dxa"/>
            <w:tcBorders>
              <w:top w:val="single" w:sz="4" w:space="0" w:color="auto"/>
              <w:left w:val="nil"/>
              <w:bottom w:val="nil"/>
              <w:right w:val="single" w:sz="4" w:space="0" w:color="auto"/>
            </w:tcBorders>
            <w:shd w:val="clear" w:color="auto" w:fill="auto"/>
            <w:noWrap/>
            <w:vAlign w:val="center"/>
          </w:tcPr>
          <w:p w14:paraId="46A7E139" w14:textId="77777777" w:rsidR="00BA5B36" w:rsidRPr="005D1BB3" w:rsidRDefault="00BA5B36" w:rsidP="004873C0">
            <w:pPr>
              <w:jc w:val="center"/>
              <w:rPr>
                <w:sz w:val="24"/>
                <w:szCs w:val="24"/>
              </w:rPr>
            </w:pPr>
            <w:r w:rsidRPr="005D1BB3">
              <w:rPr>
                <w:sz w:val="24"/>
                <w:szCs w:val="24"/>
              </w:rPr>
              <w:t>63.3</w:t>
            </w:r>
          </w:p>
        </w:tc>
      </w:tr>
      <w:tr w:rsidR="00BA5B36" w:rsidRPr="005D1BB3" w14:paraId="7E8FEAF0" w14:textId="77777777" w:rsidTr="004873C0">
        <w:trPr>
          <w:trHeight w:val="300"/>
          <w:jc w:val="center"/>
        </w:trPr>
        <w:tc>
          <w:tcPr>
            <w:tcW w:w="1635" w:type="dxa"/>
            <w:tcBorders>
              <w:top w:val="nil"/>
              <w:left w:val="single" w:sz="4" w:space="0" w:color="auto"/>
              <w:bottom w:val="nil"/>
              <w:right w:val="nil"/>
            </w:tcBorders>
            <w:shd w:val="clear" w:color="auto" w:fill="auto"/>
            <w:noWrap/>
            <w:vAlign w:val="center"/>
            <w:hideMark/>
          </w:tcPr>
          <w:p w14:paraId="68C2C87F" w14:textId="77777777" w:rsidR="00BA5B36" w:rsidRPr="005D1BB3" w:rsidRDefault="00BA5B36" w:rsidP="004873C0">
            <w:pPr>
              <w:ind w:right="522"/>
              <w:jc w:val="right"/>
              <w:rPr>
                <w:sz w:val="24"/>
                <w:szCs w:val="24"/>
              </w:rPr>
            </w:pPr>
            <w:r w:rsidRPr="005D1BB3">
              <w:rPr>
                <w:sz w:val="24"/>
                <w:szCs w:val="24"/>
              </w:rPr>
              <w:t>2</w:t>
            </w:r>
          </w:p>
        </w:tc>
        <w:tc>
          <w:tcPr>
            <w:tcW w:w="2340" w:type="dxa"/>
            <w:tcBorders>
              <w:top w:val="nil"/>
              <w:left w:val="single" w:sz="4" w:space="0" w:color="auto"/>
              <w:bottom w:val="nil"/>
              <w:right w:val="single" w:sz="4" w:space="0" w:color="auto"/>
            </w:tcBorders>
            <w:shd w:val="clear" w:color="auto" w:fill="auto"/>
            <w:noWrap/>
            <w:vAlign w:val="center"/>
          </w:tcPr>
          <w:p w14:paraId="13928EED" w14:textId="77777777" w:rsidR="00BA5B36" w:rsidRPr="005D1BB3" w:rsidRDefault="00BA5B36" w:rsidP="004873C0">
            <w:pPr>
              <w:jc w:val="center"/>
              <w:rPr>
                <w:sz w:val="24"/>
                <w:szCs w:val="24"/>
              </w:rPr>
            </w:pPr>
            <w:r w:rsidRPr="005D1BB3">
              <w:rPr>
                <w:sz w:val="24"/>
                <w:szCs w:val="24"/>
              </w:rPr>
              <w:t>56.7</w:t>
            </w:r>
          </w:p>
        </w:tc>
        <w:tc>
          <w:tcPr>
            <w:tcW w:w="2250" w:type="dxa"/>
            <w:tcBorders>
              <w:top w:val="nil"/>
              <w:left w:val="nil"/>
              <w:bottom w:val="nil"/>
              <w:right w:val="single" w:sz="4" w:space="0" w:color="auto"/>
            </w:tcBorders>
            <w:shd w:val="clear" w:color="auto" w:fill="auto"/>
            <w:noWrap/>
            <w:vAlign w:val="center"/>
          </w:tcPr>
          <w:p w14:paraId="7881C4F4" w14:textId="77777777" w:rsidR="00BA5B36" w:rsidRPr="005D1BB3" w:rsidRDefault="00BA5B36" w:rsidP="004873C0">
            <w:pPr>
              <w:jc w:val="center"/>
              <w:rPr>
                <w:sz w:val="24"/>
                <w:szCs w:val="24"/>
              </w:rPr>
            </w:pPr>
            <w:r w:rsidRPr="005D1BB3">
              <w:rPr>
                <w:sz w:val="24"/>
                <w:szCs w:val="24"/>
              </w:rPr>
              <w:t>63.3</w:t>
            </w:r>
          </w:p>
        </w:tc>
        <w:tc>
          <w:tcPr>
            <w:tcW w:w="2250" w:type="dxa"/>
            <w:tcBorders>
              <w:top w:val="nil"/>
              <w:left w:val="nil"/>
              <w:bottom w:val="nil"/>
              <w:right w:val="single" w:sz="4" w:space="0" w:color="auto"/>
            </w:tcBorders>
            <w:shd w:val="clear" w:color="auto" w:fill="auto"/>
            <w:noWrap/>
            <w:vAlign w:val="center"/>
          </w:tcPr>
          <w:p w14:paraId="256DC0F3" w14:textId="77777777" w:rsidR="00BA5B36" w:rsidRPr="005D1BB3" w:rsidRDefault="00BA5B36" w:rsidP="004873C0">
            <w:pPr>
              <w:jc w:val="center"/>
              <w:rPr>
                <w:sz w:val="24"/>
                <w:szCs w:val="24"/>
              </w:rPr>
            </w:pPr>
            <w:r w:rsidRPr="005D1BB3">
              <w:rPr>
                <w:sz w:val="24"/>
                <w:szCs w:val="24"/>
              </w:rPr>
              <w:t>80.0</w:t>
            </w:r>
          </w:p>
        </w:tc>
      </w:tr>
      <w:tr w:rsidR="00BA5B36" w:rsidRPr="005D1BB3" w14:paraId="24C3E662" w14:textId="77777777" w:rsidTr="004873C0">
        <w:trPr>
          <w:trHeight w:val="300"/>
          <w:jc w:val="center"/>
        </w:trPr>
        <w:tc>
          <w:tcPr>
            <w:tcW w:w="1635" w:type="dxa"/>
            <w:tcBorders>
              <w:top w:val="nil"/>
              <w:left w:val="single" w:sz="4" w:space="0" w:color="auto"/>
              <w:bottom w:val="nil"/>
              <w:right w:val="nil"/>
            </w:tcBorders>
            <w:shd w:val="clear" w:color="auto" w:fill="auto"/>
            <w:noWrap/>
            <w:vAlign w:val="center"/>
            <w:hideMark/>
          </w:tcPr>
          <w:p w14:paraId="7234F005" w14:textId="77777777" w:rsidR="00BA5B36" w:rsidRPr="005D1BB3" w:rsidRDefault="00BA5B36" w:rsidP="004873C0">
            <w:pPr>
              <w:ind w:right="522"/>
              <w:jc w:val="right"/>
              <w:rPr>
                <w:sz w:val="24"/>
                <w:szCs w:val="24"/>
              </w:rPr>
            </w:pPr>
            <w:r w:rsidRPr="005D1BB3">
              <w:rPr>
                <w:sz w:val="24"/>
                <w:szCs w:val="24"/>
              </w:rPr>
              <w:t>3</w:t>
            </w:r>
          </w:p>
        </w:tc>
        <w:tc>
          <w:tcPr>
            <w:tcW w:w="2340" w:type="dxa"/>
            <w:tcBorders>
              <w:top w:val="nil"/>
              <w:left w:val="single" w:sz="4" w:space="0" w:color="auto"/>
              <w:bottom w:val="nil"/>
              <w:right w:val="single" w:sz="4" w:space="0" w:color="auto"/>
            </w:tcBorders>
            <w:shd w:val="clear" w:color="auto" w:fill="auto"/>
            <w:noWrap/>
            <w:vAlign w:val="center"/>
          </w:tcPr>
          <w:p w14:paraId="73E8F350" w14:textId="77777777" w:rsidR="00BA5B36" w:rsidRPr="005D1BB3" w:rsidRDefault="00BA5B36" w:rsidP="004873C0">
            <w:pPr>
              <w:jc w:val="center"/>
              <w:rPr>
                <w:sz w:val="24"/>
                <w:szCs w:val="24"/>
              </w:rPr>
            </w:pPr>
            <w:r w:rsidRPr="005D1BB3">
              <w:rPr>
                <w:sz w:val="24"/>
                <w:szCs w:val="24"/>
              </w:rPr>
              <w:t>63.3</w:t>
            </w:r>
          </w:p>
        </w:tc>
        <w:tc>
          <w:tcPr>
            <w:tcW w:w="2250" w:type="dxa"/>
            <w:tcBorders>
              <w:top w:val="nil"/>
              <w:left w:val="nil"/>
              <w:bottom w:val="nil"/>
              <w:right w:val="single" w:sz="4" w:space="0" w:color="auto"/>
            </w:tcBorders>
            <w:shd w:val="clear" w:color="auto" w:fill="auto"/>
            <w:noWrap/>
            <w:vAlign w:val="center"/>
          </w:tcPr>
          <w:p w14:paraId="4ACB3BDF" w14:textId="77777777" w:rsidR="00BA5B36" w:rsidRPr="005D1BB3" w:rsidRDefault="00BA5B36" w:rsidP="004873C0">
            <w:pPr>
              <w:jc w:val="center"/>
              <w:rPr>
                <w:sz w:val="24"/>
                <w:szCs w:val="24"/>
              </w:rPr>
            </w:pPr>
            <w:r w:rsidRPr="005D1BB3">
              <w:rPr>
                <w:sz w:val="24"/>
                <w:szCs w:val="24"/>
              </w:rPr>
              <w:t>50.0</w:t>
            </w:r>
          </w:p>
        </w:tc>
        <w:tc>
          <w:tcPr>
            <w:tcW w:w="2250" w:type="dxa"/>
            <w:tcBorders>
              <w:top w:val="nil"/>
              <w:left w:val="nil"/>
              <w:bottom w:val="nil"/>
              <w:right w:val="single" w:sz="4" w:space="0" w:color="auto"/>
            </w:tcBorders>
            <w:shd w:val="clear" w:color="auto" w:fill="auto"/>
            <w:noWrap/>
            <w:vAlign w:val="center"/>
          </w:tcPr>
          <w:p w14:paraId="71C4C4EF" w14:textId="77777777" w:rsidR="00BA5B36" w:rsidRPr="005D1BB3" w:rsidRDefault="00BA5B36" w:rsidP="004873C0">
            <w:pPr>
              <w:jc w:val="center"/>
              <w:rPr>
                <w:sz w:val="24"/>
                <w:szCs w:val="24"/>
              </w:rPr>
            </w:pPr>
            <w:r w:rsidRPr="005D1BB3">
              <w:rPr>
                <w:sz w:val="24"/>
                <w:szCs w:val="24"/>
              </w:rPr>
              <w:t>70.0</w:t>
            </w:r>
          </w:p>
        </w:tc>
      </w:tr>
      <w:tr w:rsidR="00BA5B36" w:rsidRPr="005D1BB3" w14:paraId="6E288A7D" w14:textId="77777777" w:rsidTr="004873C0">
        <w:trPr>
          <w:trHeight w:val="300"/>
          <w:jc w:val="center"/>
        </w:trPr>
        <w:tc>
          <w:tcPr>
            <w:tcW w:w="1635" w:type="dxa"/>
            <w:tcBorders>
              <w:top w:val="nil"/>
              <w:left w:val="single" w:sz="4" w:space="0" w:color="auto"/>
              <w:bottom w:val="nil"/>
              <w:right w:val="nil"/>
            </w:tcBorders>
            <w:shd w:val="clear" w:color="auto" w:fill="auto"/>
            <w:noWrap/>
            <w:vAlign w:val="center"/>
            <w:hideMark/>
          </w:tcPr>
          <w:p w14:paraId="0A6A0443" w14:textId="77777777" w:rsidR="00BA5B36" w:rsidRPr="005D1BB3" w:rsidRDefault="00BA5B36" w:rsidP="004873C0">
            <w:pPr>
              <w:ind w:right="522"/>
              <w:jc w:val="right"/>
              <w:rPr>
                <w:sz w:val="24"/>
                <w:szCs w:val="24"/>
              </w:rPr>
            </w:pPr>
            <w:r w:rsidRPr="005D1BB3">
              <w:rPr>
                <w:sz w:val="24"/>
                <w:szCs w:val="24"/>
              </w:rPr>
              <w:t>4</w:t>
            </w:r>
          </w:p>
        </w:tc>
        <w:tc>
          <w:tcPr>
            <w:tcW w:w="2340" w:type="dxa"/>
            <w:tcBorders>
              <w:top w:val="nil"/>
              <w:left w:val="single" w:sz="4" w:space="0" w:color="auto"/>
              <w:bottom w:val="nil"/>
              <w:right w:val="single" w:sz="4" w:space="0" w:color="auto"/>
            </w:tcBorders>
            <w:shd w:val="clear" w:color="auto" w:fill="auto"/>
            <w:noWrap/>
            <w:vAlign w:val="center"/>
          </w:tcPr>
          <w:p w14:paraId="20323CD5" w14:textId="77777777" w:rsidR="00BA5B36" w:rsidRPr="005D1BB3" w:rsidRDefault="00BA5B36" w:rsidP="004873C0">
            <w:pPr>
              <w:jc w:val="center"/>
              <w:rPr>
                <w:sz w:val="24"/>
                <w:szCs w:val="24"/>
              </w:rPr>
            </w:pPr>
            <w:r w:rsidRPr="005D1BB3">
              <w:rPr>
                <w:sz w:val="24"/>
                <w:szCs w:val="24"/>
              </w:rPr>
              <w:t>76.7</w:t>
            </w:r>
          </w:p>
        </w:tc>
        <w:tc>
          <w:tcPr>
            <w:tcW w:w="2250" w:type="dxa"/>
            <w:tcBorders>
              <w:top w:val="nil"/>
              <w:left w:val="nil"/>
              <w:bottom w:val="nil"/>
              <w:right w:val="single" w:sz="4" w:space="0" w:color="auto"/>
            </w:tcBorders>
            <w:shd w:val="clear" w:color="auto" w:fill="auto"/>
            <w:noWrap/>
            <w:vAlign w:val="center"/>
          </w:tcPr>
          <w:p w14:paraId="42547D96" w14:textId="77777777" w:rsidR="00BA5B36" w:rsidRPr="005D1BB3" w:rsidRDefault="00BA5B36" w:rsidP="004873C0">
            <w:pPr>
              <w:jc w:val="center"/>
              <w:rPr>
                <w:sz w:val="24"/>
                <w:szCs w:val="24"/>
              </w:rPr>
            </w:pPr>
            <w:r w:rsidRPr="005D1BB3">
              <w:rPr>
                <w:sz w:val="24"/>
                <w:szCs w:val="24"/>
              </w:rPr>
              <w:t>96.7</w:t>
            </w:r>
          </w:p>
        </w:tc>
        <w:tc>
          <w:tcPr>
            <w:tcW w:w="2250" w:type="dxa"/>
            <w:tcBorders>
              <w:top w:val="nil"/>
              <w:left w:val="nil"/>
              <w:bottom w:val="nil"/>
              <w:right w:val="single" w:sz="4" w:space="0" w:color="auto"/>
            </w:tcBorders>
            <w:shd w:val="clear" w:color="auto" w:fill="auto"/>
            <w:noWrap/>
            <w:vAlign w:val="center"/>
          </w:tcPr>
          <w:p w14:paraId="3E62C4E6" w14:textId="77777777" w:rsidR="00BA5B36" w:rsidRPr="005D1BB3" w:rsidRDefault="00BA5B36" w:rsidP="004873C0">
            <w:pPr>
              <w:jc w:val="center"/>
              <w:rPr>
                <w:sz w:val="24"/>
                <w:szCs w:val="24"/>
              </w:rPr>
            </w:pPr>
            <w:r w:rsidRPr="005D1BB3">
              <w:rPr>
                <w:sz w:val="24"/>
                <w:szCs w:val="24"/>
              </w:rPr>
              <w:t>96.7</w:t>
            </w:r>
          </w:p>
        </w:tc>
      </w:tr>
      <w:tr w:rsidR="00BA5B36" w:rsidRPr="005D1BB3" w14:paraId="2C3E058E" w14:textId="77777777" w:rsidTr="004873C0">
        <w:trPr>
          <w:trHeight w:val="300"/>
          <w:jc w:val="center"/>
        </w:trPr>
        <w:tc>
          <w:tcPr>
            <w:tcW w:w="1635" w:type="dxa"/>
            <w:tcBorders>
              <w:top w:val="nil"/>
              <w:left w:val="single" w:sz="4" w:space="0" w:color="auto"/>
              <w:bottom w:val="nil"/>
              <w:right w:val="nil"/>
            </w:tcBorders>
            <w:shd w:val="clear" w:color="auto" w:fill="auto"/>
            <w:noWrap/>
            <w:vAlign w:val="center"/>
            <w:hideMark/>
          </w:tcPr>
          <w:p w14:paraId="2455BC92" w14:textId="77777777" w:rsidR="00BA5B36" w:rsidRPr="005D1BB3" w:rsidRDefault="00BA5B36" w:rsidP="004873C0">
            <w:pPr>
              <w:ind w:right="522"/>
              <w:jc w:val="right"/>
              <w:rPr>
                <w:sz w:val="24"/>
                <w:szCs w:val="24"/>
              </w:rPr>
            </w:pPr>
            <w:r w:rsidRPr="005D1BB3">
              <w:rPr>
                <w:sz w:val="24"/>
                <w:szCs w:val="24"/>
              </w:rPr>
              <w:t>5</w:t>
            </w:r>
          </w:p>
        </w:tc>
        <w:tc>
          <w:tcPr>
            <w:tcW w:w="2340" w:type="dxa"/>
            <w:tcBorders>
              <w:top w:val="nil"/>
              <w:left w:val="single" w:sz="4" w:space="0" w:color="auto"/>
              <w:bottom w:val="nil"/>
              <w:right w:val="single" w:sz="4" w:space="0" w:color="auto"/>
            </w:tcBorders>
            <w:shd w:val="clear" w:color="auto" w:fill="auto"/>
            <w:noWrap/>
            <w:vAlign w:val="center"/>
          </w:tcPr>
          <w:p w14:paraId="082FFAE5" w14:textId="77777777" w:rsidR="00BA5B36" w:rsidRPr="005D1BB3" w:rsidRDefault="00BA5B36" w:rsidP="004873C0">
            <w:pPr>
              <w:jc w:val="center"/>
              <w:rPr>
                <w:sz w:val="24"/>
                <w:szCs w:val="24"/>
              </w:rPr>
            </w:pPr>
            <w:r w:rsidRPr="005D1BB3">
              <w:rPr>
                <w:sz w:val="24"/>
                <w:szCs w:val="24"/>
              </w:rPr>
              <w:t>73.3</w:t>
            </w:r>
          </w:p>
        </w:tc>
        <w:tc>
          <w:tcPr>
            <w:tcW w:w="2250" w:type="dxa"/>
            <w:tcBorders>
              <w:top w:val="nil"/>
              <w:left w:val="nil"/>
              <w:bottom w:val="nil"/>
              <w:right w:val="single" w:sz="4" w:space="0" w:color="auto"/>
            </w:tcBorders>
            <w:shd w:val="clear" w:color="auto" w:fill="auto"/>
            <w:noWrap/>
            <w:vAlign w:val="center"/>
          </w:tcPr>
          <w:p w14:paraId="33B8CC1A" w14:textId="77777777" w:rsidR="00BA5B36" w:rsidRPr="005D1BB3" w:rsidRDefault="00BA5B36" w:rsidP="004873C0">
            <w:pPr>
              <w:jc w:val="center"/>
              <w:rPr>
                <w:sz w:val="24"/>
                <w:szCs w:val="24"/>
              </w:rPr>
            </w:pPr>
            <w:r w:rsidRPr="005D1BB3">
              <w:rPr>
                <w:sz w:val="24"/>
                <w:szCs w:val="24"/>
              </w:rPr>
              <w:t>80.0</w:t>
            </w:r>
          </w:p>
        </w:tc>
        <w:tc>
          <w:tcPr>
            <w:tcW w:w="2250" w:type="dxa"/>
            <w:tcBorders>
              <w:top w:val="nil"/>
              <w:left w:val="nil"/>
              <w:bottom w:val="nil"/>
              <w:right w:val="single" w:sz="4" w:space="0" w:color="auto"/>
            </w:tcBorders>
            <w:shd w:val="clear" w:color="auto" w:fill="auto"/>
            <w:noWrap/>
            <w:vAlign w:val="center"/>
          </w:tcPr>
          <w:p w14:paraId="537AE207" w14:textId="77777777" w:rsidR="00BA5B36" w:rsidRPr="005D1BB3" w:rsidRDefault="00BA5B36" w:rsidP="004873C0">
            <w:pPr>
              <w:jc w:val="center"/>
              <w:rPr>
                <w:sz w:val="24"/>
                <w:szCs w:val="24"/>
              </w:rPr>
            </w:pPr>
            <w:r w:rsidRPr="005D1BB3">
              <w:rPr>
                <w:sz w:val="24"/>
                <w:szCs w:val="24"/>
              </w:rPr>
              <w:t>76.7</w:t>
            </w:r>
          </w:p>
        </w:tc>
      </w:tr>
      <w:tr w:rsidR="00BA5B36" w:rsidRPr="005D1BB3" w14:paraId="03365048" w14:textId="77777777" w:rsidTr="004873C0">
        <w:trPr>
          <w:trHeight w:val="300"/>
          <w:jc w:val="center"/>
        </w:trPr>
        <w:tc>
          <w:tcPr>
            <w:tcW w:w="1635" w:type="dxa"/>
            <w:tcBorders>
              <w:top w:val="nil"/>
              <w:left w:val="single" w:sz="4" w:space="0" w:color="auto"/>
              <w:bottom w:val="nil"/>
              <w:right w:val="nil"/>
            </w:tcBorders>
            <w:shd w:val="clear" w:color="auto" w:fill="auto"/>
            <w:noWrap/>
            <w:vAlign w:val="center"/>
            <w:hideMark/>
          </w:tcPr>
          <w:p w14:paraId="6267D859" w14:textId="77777777" w:rsidR="00BA5B36" w:rsidRPr="005D1BB3" w:rsidRDefault="00BA5B36" w:rsidP="004873C0">
            <w:pPr>
              <w:ind w:right="522"/>
              <w:jc w:val="right"/>
              <w:rPr>
                <w:sz w:val="24"/>
                <w:szCs w:val="24"/>
              </w:rPr>
            </w:pPr>
            <w:r w:rsidRPr="005D1BB3">
              <w:rPr>
                <w:sz w:val="24"/>
                <w:szCs w:val="24"/>
              </w:rPr>
              <w:t>6</w:t>
            </w:r>
          </w:p>
        </w:tc>
        <w:tc>
          <w:tcPr>
            <w:tcW w:w="2340" w:type="dxa"/>
            <w:tcBorders>
              <w:top w:val="nil"/>
              <w:left w:val="single" w:sz="4" w:space="0" w:color="auto"/>
              <w:bottom w:val="nil"/>
              <w:right w:val="single" w:sz="4" w:space="0" w:color="auto"/>
            </w:tcBorders>
            <w:shd w:val="clear" w:color="auto" w:fill="auto"/>
            <w:noWrap/>
            <w:vAlign w:val="center"/>
          </w:tcPr>
          <w:p w14:paraId="44E3BE46" w14:textId="77777777" w:rsidR="00BA5B36" w:rsidRPr="005D1BB3" w:rsidRDefault="00BA5B36" w:rsidP="004873C0">
            <w:pPr>
              <w:jc w:val="center"/>
              <w:rPr>
                <w:sz w:val="24"/>
                <w:szCs w:val="24"/>
              </w:rPr>
            </w:pPr>
            <w:r w:rsidRPr="005D1BB3">
              <w:rPr>
                <w:sz w:val="24"/>
                <w:szCs w:val="24"/>
              </w:rPr>
              <w:t>70.0</w:t>
            </w:r>
          </w:p>
        </w:tc>
        <w:tc>
          <w:tcPr>
            <w:tcW w:w="2250" w:type="dxa"/>
            <w:tcBorders>
              <w:top w:val="nil"/>
              <w:left w:val="nil"/>
              <w:bottom w:val="nil"/>
              <w:right w:val="single" w:sz="4" w:space="0" w:color="auto"/>
            </w:tcBorders>
            <w:shd w:val="clear" w:color="auto" w:fill="auto"/>
            <w:noWrap/>
            <w:vAlign w:val="center"/>
          </w:tcPr>
          <w:p w14:paraId="70076B81" w14:textId="77777777" w:rsidR="00BA5B36" w:rsidRPr="005D1BB3" w:rsidRDefault="00BA5B36" w:rsidP="004873C0">
            <w:pPr>
              <w:jc w:val="center"/>
              <w:rPr>
                <w:sz w:val="24"/>
                <w:szCs w:val="24"/>
              </w:rPr>
            </w:pPr>
            <w:r w:rsidRPr="005D1BB3">
              <w:rPr>
                <w:sz w:val="24"/>
                <w:szCs w:val="24"/>
              </w:rPr>
              <w:t>80.0</w:t>
            </w:r>
          </w:p>
        </w:tc>
        <w:tc>
          <w:tcPr>
            <w:tcW w:w="2250" w:type="dxa"/>
            <w:tcBorders>
              <w:top w:val="nil"/>
              <w:left w:val="nil"/>
              <w:bottom w:val="nil"/>
              <w:right w:val="single" w:sz="4" w:space="0" w:color="auto"/>
            </w:tcBorders>
            <w:shd w:val="clear" w:color="auto" w:fill="auto"/>
            <w:noWrap/>
            <w:vAlign w:val="center"/>
          </w:tcPr>
          <w:p w14:paraId="67B4192A" w14:textId="77777777" w:rsidR="00BA5B36" w:rsidRPr="005D1BB3" w:rsidRDefault="00BA5B36" w:rsidP="004873C0">
            <w:pPr>
              <w:jc w:val="center"/>
              <w:rPr>
                <w:sz w:val="24"/>
                <w:szCs w:val="24"/>
              </w:rPr>
            </w:pPr>
            <w:r w:rsidRPr="005D1BB3">
              <w:rPr>
                <w:sz w:val="24"/>
                <w:szCs w:val="24"/>
              </w:rPr>
              <w:t>83.3</w:t>
            </w:r>
          </w:p>
        </w:tc>
      </w:tr>
      <w:tr w:rsidR="00BA5B36" w:rsidRPr="005D1BB3" w14:paraId="73E672E3" w14:textId="77777777" w:rsidTr="004873C0">
        <w:trPr>
          <w:trHeight w:val="300"/>
          <w:jc w:val="center"/>
        </w:trPr>
        <w:tc>
          <w:tcPr>
            <w:tcW w:w="1635" w:type="dxa"/>
            <w:tcBorders>
              <w:top w:val="nil"/>
              <w:left w:val="single" w:sz="4" w:space="0" w:color="auto"/>
              <w:bottom w:val="nil"/>
              <w:right w:val="nil"/>
            </w:tcBorders>
            <w:shd w:val="clear" w:color="auto" w:fill="auto"/>
            <w:noWrap/>
            <w:vAlign w:val="center"/>
            <w:hideMark/>
          </w:tcPr>
          <w:p w14:paraId="55B27C79" w14:textId="77777777" w:rsidR="00BA5B36" w:rsidRPr="005D1BB3" w:rsidRDefault="00BA5B36" w:rsidP="004873C0">
            <w:pPr>
              <w:ind w:right="522"/>
              <w:jc w:val="right"/>
              <w:rPr>
                <w:sz w:val="24"/>
                <w:szCs w:val="24"/>
              </w:rPr>
            </w:pPr>
            <w:r w:rsidRPr="005D1BB3">
              <w:rPr>
                <w:sz w:val="24"/>
                <w:szCs w:val="24"/>
              </w:rPr>
              <w:t>7</w:t>
            </w:r>
          </w:p>
        </w:tc>
        <w:tc>
          <w:tcPr>
            <w:tcW w:w="2340" w:type="dxa"/>
            <w:tcBorders>
              <w:top w:val="nil"/>
              <w:left w:val="single" w:sz="4" w:space="0" w:color="auto"/>
              <w:bottom w:val="nil"/>
              <w:right w:val="single" w:sz="4" w:space="0" w:color="auto"/>
            </w:tcBorders>
            <w:shd w:val="clear" w:color="auto" w:fill="auto"/>
            <w:noWrap/>
            <w:vAlign w:val="center"/>
          </w:tcPr>
          <w:p w14:paraId="3B5E0F24" w14:textId="77777777" w:rsidR="00BA5B36" w:rsidRPr="005D1BB3" w:rsidRDefault="00BA5B36" w:rsidP="004873C0">
            <w:pPr>
              <w:jc w:val="center"/>
              <w:rPr>
                <w:sz w:val="24"/>
                <w:szCs w:val="24"/>
              </w:rPr>
            </w:pPr>
            <w:r w:rsidRPr="005D1BB3">
              <w:rPr>
                <w:sz w:val="24"/>
                <w:szCs w:val="24"/>
              </w:rPr>
              <w:t>53.3</w:t>
            </w:r>
          </w:p>
        </w:tc>
        <w:tc>
          <w:tcPr>
            <w:tcW w:w="2250" w:type="dxa"/>
            <w:tcBorders>
              <w:top w:val="nil"/>
              <w:left w:val="nil"/>
              <w:bottom w:val="nil"/>
              <w:right w:val="single" w:sz="4" w:space="0" w:color="auto"/>
            </w:tcBorders>
            <w:shd w:val="clear" w:color="auto" w:fill="auto"/>
            <w:noWrap/>
            <w:vAlign w:val="center"/>
          </w:tcPr>
          <w:p w14:paraId="2277B91D" w14:textId="77777777" w:rsidR="00BA5B36" w:rsidRPr="005D1BB3" w:rsidRDefault="00BA5B36" w:rsidP="004873C0">
            <w:pPr>
              <w:jc w:val="center"/>
              <w:rPr>
                <w:sz w:val="24"/>
                <w:szCs w:val="24"/>
              </w:rPr>
            </w:pPr>
            <w:r w:rsidRPr="005D1BB3">
              <w:rPr>
                <w:sz w:val="24"/>
                <w:szCs w:val="24"/>
              </w:rPr>
              <w:t>70.0</w:t>
            </w:r>
          </w:p>
        </w:tc>
        <w:tc>
          <w:tcPr>
            <w:tcW w:w="2250" w:type="dxa"/>
            <w:tcBorders>
              <w:top w:val="nil"/>
              <w:left w:val="nil"/>
              <w:bottom w:val="nil"/>
              <w:right w:val="single" w:sz="4" w:space="0" w:color="auto"/>
            </w:tcBorders>
            <w:shd w:val="clear" w:color="auto" w:fill="auto"/>
            <w:noWrap/>
            <w:vAlign w:val="center"/>
          </w:tcPr>
          <w:p w14:paraId="660549A0" w14:textId="77777777" w:rsidR="00BA5B36" w:rsidRPr="005D1BB3" w:rsidRDefault="00BA5B36" w:rsidP="004873C0">
            <w:pPr>
              <w:jc w:val="center"/>
              <w:rPr>
                <w:sz w:val="24"/>
                <w:szCs w:val="24"/>
              </w:rPr>
            </w:pPr>
            <w:r w:rsidRPr="005D1BB3">
              <w:rPr>
                <w:sz w:val="24"/>
                <w:szCs w:val="24"/>
              </w:rPr>
              <w:t>80.0</w:t>
            </w:r>
          </w:p>
        </w:tc>
      </w:tr>
      <w:tr w:rsidR="00BA5B36" w:rsidRPr="005D1BB3" w14:paraId="4A508D57" w14:textId="77777777" w:rsidTr="004873C0">
        <w:trPr>
          <w:trHeight w:val="300"/>
          <w:jc w:val="center"/>
        </w:trPr>
        <w:tc>
          <w:tcPr>
            <w:tcW w:w="1635" w:type="dxa"/>
            <w:tcBorders>
              <w:top w:val="nil"/>
              <w:left w:val="single" w:sz="4" w:space="0" w:color="auto"/>
              <w:bottom w:val="nil"/>
              <w:right w:val="nil"/>
            </w:tcBorders>
            <w:shd w:val="clear" w:color="auto" w:fill="auto"/>
            <w:noWrap/>
            <w:vAlign w:val="center"/>
            <w:hideMark/>
          </w:tcPr>
          <w:p w14:paraId="6AD260A7" w14:textId="77777777" w:rsidR="00BA5B36" w:rsidRPr="005D1BB3" w:rsidRDefault="00BA5B36" w:rsidP="004873C0">
            <w:pPr>
              <w:ind w:right="522"/>
              <w:jc w:val="right"/>
              <w:rPr>
                <w:sz w:val="24"/>
                <w:szCs w:val="24"/>
              </w:rPr>
            </w:pPr>
            <w:r w:rsidRPr="005D1BB3">
              <w:rPr>
                <w:sz w:val="24"/>
                <w:szCs w:val="24"/>
              </w:rPr>
              <w:t>8</w:t>
            </w:r>
          </w:p>
        </w:tc>
        <w:tc>
          <w:tcPr>
            <w:tcW w:w="2340" w:type="dxa"/>
            <w:tcBorders>
              <w:top w:val="nil"/>
              <w:left w:val="single" w:sz="4" w:space="0" w:color="auto"/>
              <w:bottom w:val="nil"/>
              <w:right w:val="single" w:sz="4" w:space="0" w:color="auto"/>
            </w:tcBorders>
            <w:shd w:val="clear" w:color="auto" w:fill="auto"/>
            <w:noWrap/>
            <w:vAlign w:val="center"/>
          </w:tcPr>
          <w:p w14:paraId="23D2DFFB" w14:textId="77777777" w:rsidR="00BA5B36" w:rsidRPr="005D1BB3" w:rsidRDefault="00BA5B36" w:rsidP="004873C0">
            <w:pPr>
              <w:jc w:val="center"/>
              <w:rPr>
                <w:sz w:val="24"/>
                <w:szCs w:val="24"/>
              </w:rPr>
            </w:pPr>
            <w:r w:rsidRPr="005D1BB3">
              <w:rPr>
                <w:sz w:val="24"/>
                <w:szCs w:val="24"/>
              </w:rPr>
              <w:t>60.0</w:t>
            </w:r>
          </w:p>
        </w:tc>
        <w:tc>
          <w:tcPr>
            <w:tcW w:w="2250" w:type="dxa"/>
            <w:tcBorders>
              <w:top w:val="nil"/>
              <w:left w:val="nil"/>
              <w:bottom w:val="nil"/>
              <w:right w:val="single" w:sz="4" w:space="0" w:color="auto"/>
            </w:tcBorders>
            <w:shd w:val="clear" w:color="auto" w:fill="auto"/>
            <w:noWrap/>
            <w:vAlign w:val="center"/>
          </w:tcPr>
          <w:p w14:paraId="6BE756A7" w14:textId="77777777" w:rsidR="00BA5B36" w:rsidRPr="005D1BB3" w:rsidRDefault="00BA5B36" w:rsidP="004873C0">
            <w:pPr>
              <w:jc w:val="center"/>
              <w:rPr>
                <w:sz w:val="24"/>
                <w:szCs w:val="24"/>
              </w:rPr>
            </w:pPr>
            <w:r w:rsidRPr="005D1BB3">
              <w:rPr>
                <w:sz w:val="24"/>
                <w:szCs w:val="24"/>
              </w:rPr>
              <w:t>70.0</w:t>
            </w:r>
          </w:p>
        </w:tc>
        <w:tc>
          <w:tcPr>
            <w:tcW w:w="2250" w:type="dxa"/>
            <w:tcBorders>
              <w:top w:val="nil"/>
              <w:left w:val="nil"/>
              <w:bottom w:val="nil"/>
              <w:right w:val="single" w:sz="4" w:space="0" w:color="auto"/>
            </w:tcBorders>
            <w:shd w:val="clear" w:color="auto" w:fill="auto"/>
            <w:noWrap/>
            <w:vAlign w:val="center"/>
          </w:tcPr>
          <w:p w14:paraId="24F446E5" w14:textId="77777777" w:rsidR="00BA5B36" w:rsidRPr="005D1BB3" w:rsidRDefault="00BA5B36" w:rsidP="004873C0">
            <w:pPr>
              <w:jc w:val="center"/>
              <w:rPr>
                <w:sz w:val="24"/>
                <w:szCs w:val="24"/>
              </w:rPr>
            </w:pPr>
            <w:r w:rsidRPr="005D1BB3">
              <w:rPr>
                <w:sz w:val="24"/>
                <w:szCs w:val="24"/>
              </w:rPr>
              <w:t>60.0</w:t>
            </w:r>
          </w:p>
        </w:tc>
      </w:tr>
      <w:tr w:rsidR="00BA5B36" w:rsidRPr="005D1BB3" w14:paraId="477ABC02" w14:textId="77777777" w:rsidTr="004873C0">
        <w:trPr>
          <w:trHeight w:val="300"/>
          <w:jc w:val="center"/>
        </w:trPr>
        <w:tc>
          <w:tcPr>
            <w:tcW w:w="1635" w:type="dxa"/>
            <w:tcBorders>
              <w:top w:val="nil"/>
              <w:left w:val="single" w:sz="4" w:space="0" w:color="auto"/>
              <w:bottom w:val="nil"/>
              <w:right w:val="nil"/>
            </w:tcBorders>
            <w:shd w:val="clear" w:color="auto" w:fill="auto"/>
            <w:noWrap/>
            <w:vAlign w:val="center"/>
            <w:hideMark/>
          </w:tcPr>
          <w:p w14:paraId="0F4B2DC2" w14:textId="77777777" w:rsidR="00BA5B36" w:rsidRPr="005D1BB3" w:rsidRDefault="00BA5B36" w:rsidP="004873C0">
            <w:pPr>
              <w:ind w:right="522"/>
              <w:jc w:val="right"/>
              <w:rPr>
                <w:sz w:val="24"/>
                <w:szCs w:val="24"/>
              </w:rPr>
            </w:pPr>
            <w:r w:rsidRPr="005D1BB3">
              <w:rPr>
                <w:sz w:val="24"/>
                <w:szCs w:val="24"/>
              </w:rPr>
              <w:t>9</w:t>
            </w:r>
          </w:p>
        </w:tc>
        <w:tc>
          <w:tcPr>
            <w:tcW w:w="2340" w:type="dxa"/>
            <w:tcBorders>
              <w:top w:val="nil"/>
              <w:left w:val="single" w:sz="4" w:space="0" w:color="auto"/>
              <w:bottom w:val="nil"/>
              <w:right w:val="single" w:sz="4" w:space="0" w:color="auto"/>
            </w:tcBorders>
            <w:shd w:val="clear" w:color="auto" w:fill="auto"/>
            <w:noWrap/>
            <w:vAlign w:val="center"/>
          </w:tcPr>
          <w:p w14:paraId="52271536" w14:textId="77777777" w:rsidR="00BA5B36" w:rsidRPr="005D1BB3" w:rsidRDefault="00BA5B36" w:rsidP="004873C0">
            <w:pPr>
              <w:jc w:val="center"/>
              <w:rPr>
                <w:sz w:val="24"/>
                <w:szCs w:val="24"/>
              </w:rPr>
            </w:pPr>
            <w:r w:rsidRPr="005D1BB3">
              <w:rPr>
                <w:sz w:val="24"/>
                <w:szCs w:val="24"/>
              </w:rPr>
              <w:t>70.0</w:t>
            </w:r>
          </w:p>
        </w:tc>
        <w:tc>
          <w:tcPr>
            <w:tcW w:w="2250" w:type="dxa"/>
            <w:tcBorders>
              <w:top w:val="nil"/>
              <w:left w:val="nil"/>
              <w:bottom w:val="nil"/>
              <w:right w:val="single" w:sz="4" w:space="0" w:color="auto"/>
            </w:tcBorders>
            <w:shd w:val="clear" w:color="auto" w:fill="auto"/>
            <w:noWrap/>
            <w:vAlign w:val="center"/>
          </w:tcPr>
          <w:p w14:paraId="40659920" w14:textId="77777777" w:rsidR="00BA5B36" w:rsidRPr="005D1BB3" w:rsidRDefault="00BA5B36" w:rsidP="004873C0">
            <w:pPr>
              <w:jc w:val="center"/>
              <w:rPr>
                <w:sz w:val="24"/>
                <w:szCs w:val="24"/>
              </w:rPr>
            </w:pPr>
            <w:r w:rsidRPr="005D1BB3">
              <w:rPr>
                <w:sz w:val="24"/>
                <w:szCs w:val="24"/>
              </w:rPr>
              <w:t>43.3</w:t>
            </w:r>
          </w:p>
        </w:tc>
        <w:tc>
          <w:tcPr>
            <w:tcW w:w="2250" w:type="dxa"/>
            <w:tcBorders>
              <w:top w:val="nil"/>
              <w:left w:val="nil"/>
              <w:bottom w:val="nil"/>
              <w:right w:val="single" w:sz="4" w:space="0" w:color="auto"/>
            </w:tcBorders>
            <w:shd w:val="clear" w:color="auto" w:fill="auto"/>
            <w:noWrap/>
            <w:vAlign w:val="center"/>
          </w:tcPr>
          <w:p w14:paraId="14B038AB" w14:textId="77777777" w:rsidR="00BA5B36" w:rsidRPr="005D1BB3" w:rsidRDefault="00BA5B36" w:rsidP="004873C0">
            <w:pPr>
              <w:jc w:val="center"/>
              <w:rPr>
                <w:sz w:val="24"/>
                <w:szCs w:val="24"/>
              </w:rPr>
            </w:pPr>
            <w:r w:rsidRPr="005D1BB3">
              <w:rPr>
                <w:sz w:val="24"/>
                <w:szCs w:val="24"/>
              </w:rPr>
              <w:t>63.3</w:t>
            </w:r>
          </w:p>
        </w:tc>
      </w:tr>
      <w:tr w:rsidR="00BA5B36" w:rsidRPr="005D1BB3" w14:paraId="0A6A6A50" w14:textId="77777777" w:rsidTr="004873C0">
        <w:trPr>
          <w:trHeight w:val="300"/>
          <w:jc w:val="center"/>
        </w:trPr>
        <w:tc>
          <w:tcPr>
            <w:tcW w:w="1635" w:type="dxa"/>
            <w:tcBorders>
              <w:top w:val="nil"/>
              <w:left w:val="single" w:sz="4" w:space="0" w:color="auto"/>
              <w:bottom w:val="single" w:sz="4" w:space="0" w:color="auto"/>
              <w:right w:val="nil"/>
            </w:tcBorders>
            <w:shd w:val="clear" w:color="auto" w:fill="auto"/>
            <w:noWrap/>
            <w:vAlign w:val="center"/>
            <w:hideMark/>
          </w:tcPr>
          <w:p w14:paraId="4A8B61EE" w14:textId="77777777" w:rsidR="00BA5B36" w:rsidRPr="005D1BB3" w:rsidRDefault="00BA5B36" w:rsidP="004873C0">
            <w:pPr>
              <w:ind w:right="522"/>
              <w:jc w:val="right"/>
              <w:rPr>
                <w:sz w:val="24"/>
                <w:szCs w:val="24"/>
              </w:rPr>
            </w:pPr>
            <w:r w:rsidRPr="005D1BB3">
              <w:rPr>
                <w:sz w:val="24"/>
                <w:szCs w:val="24"/>
              </w:rPr>
              <w:t>10</w:t>
            </w:r>
          </w:p>
        </w:tc>
        <w:tc>
          <w:tcPr>
            <w:tcW w:w="2340" w:type="dxa"/>
            <w:tcBorders>
              <w:top w:val="nil"/>
              <w:left w:val="single" w:sz="4" w:space="0" w:color="auto"/>
              <w:bottom w:val="single" w:sz="4" w:space="0" w:color="auto"/>
              <w:right w:val="single" w:sz="4" w:space="0" w:color="auto"/>
            </w:tcBorders>
            <w:shd w:val="clear" w:color="auto" w:fill="auto"/>
            <w:noWrap/>
            <w:vAlign w:val="center"/>
          </w:tcPr>
          <w:p w14:paraId="6038D30E" w14:textId="77777777" w:rsidR="00BA5B36" w:rsidRPr="005D1BB3" w:rsidRDefault="00BA5B36" w:rsidP="004873C0">
            <w:pPr>
              <w:jc w:val="center"/>
              <w:rPr>
                <w:sz w:val="24"/>
                <w:szCs w:val="24"/>
              </w:rPr>
            </w:pPr>
            <w:r w:rsidRPr="005D1BB3">
              <w:rPr>
                <w:sz w:val="24"/>
                <w:szCs w:val="24"/>
              </w:rPr>
              <w:t>93.3</w:t>
            </w:r>
          </w:p>
        </w:tc>
        <w:tc>
          <w:tcPr>
            <w:tcW w:w="2250" w:type="dxa"/>
            <w:tcBorders>
              <w:top w:val="nil"/>
              <w:left w:val="nil"/>
              <w:bottom w:val="single" w:sz="4" w:space="0" w:color="auto"/>
              <w:right w:val="single" w:sz="4" w:space="0" w:color="auto"/>
            </w:tcBorders>
            <w:shd w:val="clear" w:color="auto" w:fill="auto"/>
            <w:noWrap/>
            <w:vAlign w:val="center"/>
          </w:tcPr>
          <w:p w14:paraId="7F05B9FE" w14:textId="77777777" w:rsidR="00BA5B36" w:rsidRPr="005D1BB3" w:rsidRDefault="00BA5B36" w:rsidP="004873C0">
            <w:pPr>
              <w:jc w:val="center"/>
              <w:rPr>
                <w:sz w:val="24"/>
                <w:szCs w:val="24"/>
              </w:rPr>
            </w:pPr>
            <w:r w:rsidRPr="005D1BB3">
              <w:rPr>
                <w:sz w:val="24"/>
                <w:szCs w:val="24"/>
              </w:rPr>
              <w:t>80.0</w:t>
            </w:r>
          </w:p>
        </w:tc>
        <w:tc>
          <w:tcPr>
            <w:tcW w:w="2250" w:type="dxa"/>
            <w:tcBorders>
              <w:top w:val="nil"/>
              <w:left w:val="nil"/>
              <w:bottom w:val="single" w:sz="4" w:space="0" w:color="auto"/>
              <w:right w:val="single" w:sz="4" w:space="0" w:color="auto"/>
            </w:tcBorders>
            <w:shd w:val="clear" w:color="auto" w:fill="auto"/>
            <w:noWrap/>
            <w:vAlign w:val="center"/>
          </w:tcPr>
          <w:p w14:paraId="19BD336C" w14:textId="77777777" w:rsidR="00BA5B36" w:rsidRPr="005D1BB3" w:rsidRDefault="00BA5B36" w:rsidP="004873C0">
            <w:pPr>
              <w:jc w:val="center"/>
              <w:rPr>
                <w:sz w:val="24"/>
                <w:szCs w:val="24"/>
              </w:rPr>
            </w:pPr>
            <w:r w:rsidRPr="005D1BB3">
              <w:rPr>
                <w:sz w:val="24"/>
                <w:szCs w:val="24"/>
              </w:rPr>
              <w:t>73.3</w:t>
            </w:r>
          </w:p>
        </w:tc>
      </w:tr>
      <w:tr w:rsidR="00BA5B36" w:rsidRPr="005D1BB3" w14:paraId="7A6791D2" w14:textId="77777777" w:rsidTr="004873C0">
        <w:trPr>
          <w:trHeight w:val="300"/>
          <w:jc w:val="center"/>
        </w:trPr>
        <w:tc>
          <w:tcPr>
            <w:tcW w:w="1635" w:type="dxa"/>
            <w:tcBorders>
              <w:top w:val="nil"/>
              <w:left w:val="single" w:sz="4" w:space="0" w:color="auto"/>
              <w:bottom w:val="single" w:sz="4" w:space="0" w:color="auto"/>
              <w:right w:val="nil"/>
            </w:tcBorders>
            <w:shd w:val="clear" w:color="auto" w:fill="auto"/>
            <w:noWrap/>
            <w:vAlign w:val="center"/>
            <w:hideMark/>
          </w:tcPr>
          <w:p w14:paraId="2F7D3BC1" w14:textId="77777777" w:rsidR="00BA5B36" w:rsidRPr="005D1BB3" w:rsidRDefault="00BA5B36" w:rsidP="004873C0">
            <w:pPr>
              <w:jc w:val="center"/>
              <w:rPr>
                <w:b/>
                <w:bCs/>
                <w:i/>
                <w:iCs/>
                <w:sz w:val="24"/>
                <w:szCs w:val="24"/>
              </w:rPr>
            </w:pPr>
            <w:r w:rsidRPr="005D1BB3">
              <w:rPr>
                <w:b/>
                <w:bCs/>
                <w:i/>
                <w:iCs/>
                <w:sz w:val="24"/>
                <w:szCs w:val="24"/>
              </w:rPr>
              <w:t>Statewide</w:t>
            </w:r>
          </w:p>
        </w:tc>
        <w:tc>
          <w:tcPr>
            <w:tcW w:w="2340" w:type="dxa"/>
            <w:tcBorders>
              <w:top w:val="nil"/>
              <w:left w:val="single" w:sz="4" w:space="0" w:color="auto"/>
              <w:bottom w:val="single" w:sz="4" w:space="0" w:color="auto"/>
              <w:right w:val="single" w:sz="4" w:space="0" w:color="auto"/>
            </w:tcBorders>
            <w:shd w:val="clear" w:color="auto" w:fill="auto"/>
            <w:noWrap/>
            <w:vAlign w:val="center"/>
          </w:tcPr>
          <w:p w14:paraId="726A39E5" w14:textId="77777777" w:rsidR="00BA5B36" w:rsidRPr="005D1BB3" w:rsidRDefault="00BA5B36" w:rsidP="004873C0">
            <w:pPr>
              <w:jc w:val="center"/>
              <w:rPr>
                <w:b/>
                <w:bCs/>
                <w:i/>
                <w:iCs/>
                <w:sz w:val="24"/>
                <w:szCs w:val="24"/>
              </w:rPr>
            </w:pPr>
            <w:r w:rsidRPr="005D1BB3">
              <w:rPr>
                <w:b/>
                <w:bCs/>
                <w:i/>
                <w:iCs/>
                <w:sz w:val="24"/>
                <w:szCs w:val="24"/>
              </w:rPr>
              <w:t>66.3</w:t>
            </w:r>
          </w:p>
        </w:tc>
        <w:tc>
          <w:tcPr>
            <w:tcW w:w="2250" w:type="dxa"/>
            <w:tcBorders>
              <w:top w:val="nil"/>
              <w:left w:val="nil"/>
              <w:bottom w:val="single" w:sz="4" w:space="0" w:color="auto"/>
              <w:right w:val="single" w:sz="4" w:space="0" w:color="auto"/>
            </w:tcBorders>
            <w:shd w:val="clear" w:color="auto" w:fill="auto"/>
            <w:noWrap/>
            <w:vAlign w:val="center"/>
          </w:tcPr>
          <w:p w14:paraId="703BFDC6" w14:textId="77777777" w:rsidR="00BA5B36" w:rsidRPr="005D1BB3" w:rsidRDefault="00BA5B36" w:rsidP="004873C0">
            <w:pPr>
              <w:jc w:val="center"/>
              <w:rPr>
                <w:b/>
                <w:bCs/>
                <w:i/>
                <w:iCs/>
                <w:sz w:val="24"/>
                <w:szCs w:val="24"/>
              </w:rPr>
            </w:pPr>
            <w:r w:rsidRPr="005D1BB3">
              <w:rPr>
                <w:b/>
                <w:bCs/>
                <w:i/>
                <w:iCs/>
                <w:sz w:val="24"/>
                <w:szCs w:val="24"/>
              </w:rPr>
              <w:t>67.7</w:t>
            </w:r>
          </w:p>
        </w:tc>
        <w:tc>
          <w:tcPr>
            <w:tcW w:w="2250" w:type="dxa"/>
            <w:tcBorders>
              <w:top w:val="nil"/>
              <w:left w:val="nil"/>
              <w:bottom w:val="single" w:sz="4" w:space="0" w:color="auto"/>
              <w:right w:val="single" w:sz="4" w:space="0" w:color="auto"/>
            </w:tcBorders>
            <w:shd w:val="clear" w:color="auto" w:fill="auto"/>
            <w:noWrap/>
            <w:vAlign w:val="center"/>
          </w:tcPr>
          <w:p w14:paraId="4883913C" w14:textId="77777777" w:rsidR="00BA5B36" w:rsidRPr="005D1BB3" w:rsidRDefault="00BA5B36" w:rsidP="004873C0">
            <w:pPr>
              <w:jc w:val="center"/>
              <w:rPr>
                <w:b/>
                <w:bCs/>
                <w:i/>
                <w:iCs/>
                <w:sz w:val="24"/>
                <w:szCs w:val="24"/>
              </w:rPr>
            </w:pPr>
            <w:r w:rsidRPr="005D1BB3">
              <w:rPr>
                <w:b/>
                <w:bCs/>
                <w:i/>
                <w:iCs/>
                <w:sz w:val="24"/>
                <w:szCs w:val="24"/>
              </w:rPr>
              <w:t>74.7</w:t>
            </w:r>
          </w:p>
        </w:tc>
      </w:tr>
    </w:tbl>
    <w:p w14:paraId="72521C1F" w14:textId="77777777" w:rsidR="00BA5B36" w:rsidRDefault="00BA5B36" w:rsidP="00484EE9">
      <w:pPr>
        <w:pStyle w:val="NoSpacing"/>
        <w:rPr>
          <w:sz w:val="24"/>
          <w:szCs w:val="24"/>
        </w:rPr>
      </w:pPr>
    </w:p>
    <w:p w14:paraId="2E6DFC5F" w14:textId="356ADBA1" w:rsidR="00B42709" w:rsidRDefault="00B42709" w:rsidP="00484EE9">
      <w:pPr>
        <w:pStyle w:val="NoSpacing"/>
        <w:rPr>
          <w:b/>
          <w:i/>
          <w:sz w:val="24"/>
          <w:szCs w:val="24"/>
        </w:rPr>
      </w:pPr>
      <w:r>
        <w:rPr>
          <w:b/>
          <w:i/>
          <w:sz w:val="24"/>
          <w:szCs w:val="24"/>
        </w:rPr>
        <w:t>Protection Plans</w:t>
      </w:r>
    </w:p>
    <w:p w14:paraId="23C771F0" w14:textId="77777777" w:rsidR="00B42709" w:rsidRDefault="00B42709" w:rsidP="00484EE9">
      <w:pPr>
        <w:pStyle w:val="NoSpacing"/>
        <w:rPr>
          <w:b/>
          <w:i/>
          <w:sz w:val="24"/>
          <w:szCs w:val="24"/>
        </w:rPr>
      </w:pPr>
    </w:p>
    <w:p w14:paraId="5F78885A" w14:textId="05E92424" w:rsidR="00B42709" w:rsidRPr="00B42709" w:rsidRDefault="00B42709" w:rsidP="00484EE9">
      <w:pPr>
        <w:pStyle w:val="NoSpacing"/>
        <w:rPr>
          <w:sz w:val="24"/>
          <w:szCs w:val="24"/>
        </w:rPr>
      </w:pPr>
      <w:r>
        <w:rPr>
          <w:sz w:val="24"/>
          <w:szCs w:val="24"/>
        </w:rPr>
        <w:t xml:space="preserve">During FY 2014, DCFS reviewed 50 randomly selected child maltreatment investigations from each of 10 service areas.  The review found that the plans accurately addressed safety in 70 percent of cases.  Four </w:t>
      </w:r>
      <w:r w:rsidR="000B0A26">
        <w:rPr>
          <w:sz w:val="24"/>
          <w:szCs w:val="24"/>
        </w:rPr>
        <w:t>DCFS A</w:t>
      </w:r>
      <w:r>
        <w:rPr>
          <w:sz w:val="24"/>
          <w:szCs w:val="24"/>
        </w:rPr>
        <w:t>reas accurately addressed safety in 100 percent of cases and the others accurately assessed safety ranging from 45 to 67 percent of cases.</w:t>
      </w:r>
      <w:r w:rsidR="004579BE">
        <w:rPr>
          <w:sz w:val="24"/>
          <w:szCs w:val="24"/>
        </w:rPr>
        <w:t xml:space="preserve">  </w:t>
      </w:r>
      <w:r w:rsidR="00D0138B">
        <w:rPr>
          <w:sz w:val="24"/>
          <w:szCs w:val="24"/>
        </w:rPr>
        <w:t>DCFS advises that a finding that safety is not accurately addressed also includes staff identifying imminent danger when no</w:t>
      </w:r>
      <w:r w:rsidR="000B0A26">
        <w:rPr>
          <w:sz w:val="24"/>
          <w:szCs w:val="24"/>
        </w:rPr>
        <w:t>ne</w:t>
      </w:r>
      <w:r w:rsidR="00D0138B">
        <w:rPr>
          <w:sz w:val="24"/>
          <w:szCs w:val="24"/>
        </w:rPr>
        <w:t xml:space="preserve"> exists.  DCFS has worked to improve the quality of assessment through implementation of a nationally used risk-assessment tool, Structured Decision-Making and provision of additional training of staff on protection plans.  </w:t>
      </w:r>
      <w:r w:rsidR="00464D08">
        <w:rPr>
          <w:sz w:val="24"/>
          <w:szCs w:val="24"/>
        </w:rPr>
        <w:t xml:space="preserve">To provide an additional layer of safety assessment, </w:t>
      </w:r>
      <w:r w:rsidR="00D0138B">
        <w:rPr>
          <w:sz w:val="24"/>
          <w:szCs w:val="24"/>
        </w:rPr>
        <w:t xml:space="preserve">Team Decision-Making meetings are being implemented </w:t>
      </w:r>
      <w:r w:rsidR="000B0A26">
        <w:rPr>
          <w:sz w:val="24"/>
          <w:szCs w:val="24"/>
        </w:rPr>
        <w:t>when</w:t>
      </w:r>
      <w:r w:rsidR="00D0138B">
        <w:rPr>
          <w:sz w:val="24"/>
          <w:szCs w:val="24"/>
        </w:rPr>
        <w:t xml:space="preserve"> protection plans are used</w:t>
      </w:r>
      <w:r w:rsidR="00464D08">
        <w:rPr>
          <w:sz w:val="24"/>
          <w:szCs w:val="24"/>
        </w:rPr>
        <w:t>.</w:t>
      </w:r>
      <w:r w:rsidR="00AD1DEA">
        <w:rPr>
          <w:sz w:val="24"/>
          <w:szCs w:val="24"/>
        </w:rPr>
        <w:t xml:space="preserve">  DCFS notes that 95 percent of children receiving Supportive Services and 93 percent of children receiving Protective Services one year prior to SFY 2014 were not re-victimized within one year of service initiation.</w:t>
      </w:r>
    </w:p>
    <w:p w14:paraId="4C779CCE" w14:textId="77777777" w:rsidR="00B42709" w:rsidRDefault="00B42709" w:rsidP="00484EE9">
      <w:pPr>
        <w:pStyle w:val="NoSpacing"/>
        <w:rPr>
          <w:sz w:val="24"/>
          <w:szCs w:val="24"/>
        </w:rPr>
      </w:pPr>
    </w:p>
    <w:p w14:paraId="530DD4C3" w14:textId="77777777" w:rsidR="009278C2" w:rsidRPr="009278C2" w:rsidRDefault="009278C2" w:rsidP="00484EE9">
      <w:pPr>
        <w:pStyle w:val="NoSpacing"/>
        <w:rPr>
          <w:b/>
          <w:i/>
          <w:sz w:val="24"/>
          <w:szCs w:val="24"/>
        </w:rPr>
      </w:pPr>
      <w:r w:rsidRPr="009278C2">
        <w:rPr>
          <w:b/>
          <w:i/>
          <w:sz w:val="24"/>
          <w:szCs w:val="24"/>
        </w:rPr>
        <w:t>Worker Contacts</w:t>
      </w:r>
    </w:p>
    <w:p w14:paraId="54A80E49" w14:textId="77777777" w:rsidR="0066243C" w:rsidRDefault="0066243C" w:rsidP="00484EE9">
      <w:pPr>
        <w:pStyle w:val="NoSpacing"/>
        <w:rPr>
          <w:sz w:val="24"/>
          <w:szCs w:val="24"/>
        </w:rPr>
      </w:pPr>
    </w:p>
    <w:p w14:paraId="4E38F15E" w14:textId="5C1C3AF0" w:rsidR="0066243C" w:rsidRDefault="00445ED6" w:rsidP="00484EE9">
      <w:pPr>
        <w:pStyle w:val="NoSpacing"/>
        <w:rPr>
          <w:sz w:val="24"/>
          <w:szCs w:val="24"/>
        </w:rPr>
      </w:pPr>
      <w:r>
        <w:rPr>
          <w:sz w:val="24"/>
          <w:szCs w:val="24"/>
        </w:rPr>
        <w:t>Frequent worker contact</w:t>
      </w:r>
      <w:r w:rsidR="006241F3">
        <w:rPr>
          <w:sz w:val="24"/>
          <w:szCs w:val="24"/>
        </w:rPr>
        <w:t xml:space="preserve"> is an important process for assisting families to develop adequate caregiving capacity and assuring child safety.  As the following chart indicates, in the three years covered by these data, DCFS improved the frequency of family contacts in in-home cases with a face</w:t>
      </w:r>
      <w:r w:rsidR="00CF5E2D">
        <w:rPr>
          <w:sz w:val="24"/>
          <w:szCs w:val="24"/>
        </w:rPr>
        <w:t>-</w:t>
      </w:r>
      <w:r w:rsidR="006241F3">
        <w:rPr>
          <w:sz w:val="24"/>
          <w:szCs w:val="24"/>
        </w:rPr>
        <w:t>to-face-</w:t>
      </w:r>
      <w:r w:rsidR="009278C2">
        <w:rPr>
          <w:sz w:val="24"/>
          <w:szCs w:val="24"/>
        </w:rPr>
        <w:t xml:space="preserve">contact </w:t>
      </w:r>
      <w:r w:rsidR="00464D08">
        <w:rPr>
          <w:sz w:val="24"/>
          <w:szCs w:val="24"/>
        </w:rPr>
        <w:t xml:space="preserve">from </w:t>
      </w:r>
      <w:r w:rsidR="006241F3">
        <w:rPr>
          <w:sz w:val="24"/>
          <w:szCs w:val="24"/>
        </w:rPr>
        <w:t>75.8 percent to 82.3 percent.</w:t>
      </w:r>
    </w:p>
    <w:p w14:paraId="79907DBC" w14:textId="77777777" w:rsidR="0066243C" w:rsidRDefault="0066243C" w:rsidP="00484EE9">
      <w:pPr>
        <w:pStyle w:val="NoSpacing"/>
        <w:rPr>
          <w:sz w:val="24"/>
          <w:szCs w:val="24"/>
        </w:rPr>
      </w:pPr>
    </w:p>
    <w:p w14:paraId="3734864A" w14:textId="77777777" w:rsidR="0066243C" w:rsidRDefault="0066243C" w:rsidP="00484EE9">
      <w:pPr>
        <w:pStyle w:val="NoSpacing"/>
        <w:rPr>
          <w:sz w:val="24"/>
          <w:szCs w:val="24"/>
        </w:rPr>
      </w:pPr>
    </w:p>
    <w:tbl>
      <w:tblPr>
        <w:tblW w:w="8248" w:type="dxa"/>
        <w:jc w:val="center"/>
        <w:tblLook w:val="04A0" w:firstRow="1" w:lastRow="0" w:firstColumn="1" w:lastColumn="0" w:noHBand="0" w:noVBand="1"/>
      </w:tblPr>
      <w:tblGrid>
        <w:gridCol w:w="1964"/>
        <w:gridCol w:w="1544"/>
        <w:gridCol w:w="579"/>
        <w:gridCol w:w="1067"/>
        <w:gridCol w:w="950"/>
        <w:gridCol w:w="696"/>
        <w:gridCol w:w="1448"/>
      </w:tblGrid>
      <w:tr w:rsidR="004E3F6E" w:rsidRPr="00A2217B" w14:paraId="19277692" w14:textId="77777777" w:rsidTr="004E3F6E">
        <w:trPr>
          <w:trHeight w:val="300"/>
          <w:tblHeader/>
          <w:jc w:val="center"/>
        </w:trPr>
        <w:tc>
          <w:tcPr>
            <w:tcW w:w="8248" w:type="dxa"/>
            <w:gridSpan w:val="7"/>
            <w:tcBorders>
              <w:top w:val="nil"/>
              <w:left w:val="single" w:sz="4" w:space="0" w:color="auto"/>
              <w:bottom w:val="nil"/>
              <w:right w:val="single" w:sz="4" w:space="0" w:color="000000"/>
            </w:tcBorders>
            <w:shd w:val="clear" w:color="000000" w:fill="000000"/>
            <w:noWrap/>
            <w:vAlign w:val="center"/>
            <w:hideMark/>
          </w:tcPr>
          <w:p w14:paraId="75109B6C" w14:textId="77777777" w:rsidR="004E3F6E" w:rsidRPr="00A2217B" w:rsidRDefault="004E3F6E" w:rsidP="004873C0">
            <w:pPr>
              <w:jc w:val="center"/>
              <w:rPr>
                <w:b/>
                <w:bCs/>
                <w:color w:val="FFFFFF"/>
                <w:sz w:val="20"/>
                <w:szCs w:val="20"/>
              </w:rPr>
            </w:pPr>
          </w:p>
        </w:tc>
      </w:tr>
      <w:tr w:rsidR="004E3F6E" w:rsidRPr="00A2217B" w14:paraId="08E3D409" w14:textId="77777777" w:rsidTr="004E3F6E">
        <w:trPr>
          <w:trHeight w:val="300"/>
          <w:tblHeader/>
          <w:jc w:val="center"/>
        </w:trPr>
        <w:tc>
          <w:tcPr>
            <w:tcW w:w="8248" w:type="dxa"/>
            <w:gridSpan w:val="7"/>
            <w:tcBorders>
              <w:top w:val="nil"/>
              <w:left w:val="single" w:sz="4" w:space="0" w:color="auto"/>
              <w:bottom w:val="nil"/>
              <w:right w:val="single" w:sz="4" w:space="0" w:color="000000"/>
            </w:tcBorders>
            <w:shd w:val="clear" w:color="000000" w:fill="000000"/>
            <w:noWrap/>
            <w:vAlign w:val="center"/>
            <w:hideMark/>
          </w:tcPr>
          <w:p w14:paraId="19FC8E17" w14:textId="77777777" w:rsidR="004E3F6E" w:rsidRPr="00A2217B" w:rsidRDefault="004E3F6E" w:rsidP="004873C0">
            <w:pPr>
              <w:jc w:val="center"/>
              <w:rPr>
                <w:b/>
                <w:bCs/>
                <w:color w:val="FFFFFF"/>
                <w:sz w:val="20"/>
                <w:szCs w:val="20"/>
              </w:rPr>
            </w:pPr>
            <w:r w:rsidRPr="00A2217B">
              <w:rPr>
                <w:b/>
                <w:bCs/>
                <w:color w:val="FFFFFF"/>
                <w:sz w:val="20"/>
                <w:szCs w:val="20"/>
              </w:rPr>
              <w:t>In-Home Cases with Recent Caseworker Contact at the End of the Year, by Area</w:t>
            </w:r>
          </w:p>
        </w:tc>
      </w:tr>
      <w:tr w:rsidR="004E3F6E" w:rsidRPr="00A2217B" w14:paraId="6EEDAFF9" w14:textId="77777777" w:rsidTr="004E3F6E">
        <w:trPr>
          <w:trHeight w:val="300"/>
          <w:tblHeader/>
          <w:jc w:val="center"/>
        </w:trPr>
        <w:tc>
          <w:tcPr>
            <w:tcW w:w="3508" w:type="dxa"/>
            <w:gridSpan w:val="2"/>
            <w:tcBorders>
              <w:top w:val="nil"/>
              <w:left w:val="single" w:sz="4" w:space="0" w:color="auto"/>
              <w:bottom w:val="nil"/>
              <w:right w:val="nil"/>
            </w:tcBorders>
            <w:shd w:val="clear" w:color="000000" w:fill="000000"/>
            <w:noWrap/>
            <w:vAlign w:val="center"/>
            <w:hideMark/>
          </w:tcPr>
          <w:p w14:paraId="274A2248" w14:textId="77777777" w:rsidR="004E3F6E" w:rsidRPr="00A2217B" w:rsidRDefault="004E3F6E" w:rsidP="004873C0">
            <w:pPr>
              <w:jc w:val="center"/>
              <w:rPr>
                <w:b/>
                <w:bCs/>
                <w:color w:val="FFFFFF"/>
                <w:sz w:val="20"/>
                <w:szCs w:val="20"/>
              </w:rPr>
            </w:pPr>
            <w:r w:rsidRPr="00A2217B">
              <w:rPr>
                <w:b/>
                <w:bCs/>
                <w:color w:val="FFFFFF"/>
                <w:sz w:val="20"/>
                <w:szCs w:val="20"/>
              </w:rPr>
              <w:t> </w:t>
            </w:r>
          </w:p>
        </w:tc>
        <w:tc>
          <w:tcPr>
            <w:tcW w:w="1646" w:type="dxa"/>
            <w:gridSpan w:val="2"/>
            <w:tcBorders>
              <w:top w:val="nil"/>
              <w:left w:val="nil"/>
              <w:bottom w:val="nil"/>
              <w:right w:val="nil"/>
            </w:tcBorders>
            <w:shd w:val="clear" w:color="000000" w:fill="000000"/>
            <w:noWrap/>
            <w:vAlign w:val="center"/>
            <w:hideMark/>
          </w:tcPr>
          <w:p w14:paraId="6211E2CB" w14:textId="77777777" w:rsidR="004E3F6E" w:rsidRPr="00A2217B" w:rsidRDefault="004E3F6E" w:rsidP="004873C0">
            <w:pPr>
              <w:rPr>
                <w:b/>
                <w:bCs/>
                <w:color w:val="FFFFFF"/>
                <w:sz w:val="20"/>
                <w:szCs w:val="20"/>
              </w:rPr>
            </w:pPr>
            <w:r w:rsidRPr="00A2217B">
              <w:rPr>
                <w:b/>
                <w:bCs/>
                <w:color w:val="FFFFFF"/>
                <w:sz w:val="20"/>
                <w:szCs w:val="20"/>
              </w:rPr>
              <w:t> </w:t>
            </w:r>
          </w:p>
        </w:tc>
        <w:tc>
          <w:tcPr>
            <w:tcW w:w="1646" w:type="dxa"/>
            <w:gridSpan w:val="2"/>
            <w:tcBorders>
              <w:top w:val="nil"/>
              <w:left w:val="nil"/>
              <w:bottom w:val="nil"/>
              <w:right w:val="nil"/>
            </w:tcBorders>
            <w:shd w:val="clear" w:color="000000" w:fill="000000"/>
            <w:noWrap/>
            <w:vAlign w:val="center"/>
            <w:hideMark/>
          </w:tcPr>
          <w:p w14:paraId="63368041" w14:textId="77777777" w:rsidR="004E3F6E" w:rsidRPr="00A2217B" w:rsidRDefault="004E3F6E" w:rsidP="004873C0">
            <w:pPr>
              <w:rPr>
                <w:b/>
                <w:bCs/>
                <w:color w:val="FFFFFF"/>
                <w:sz w:val="20"/>
                <w:szCs w:val="20"/>
              </w:rPr>
            </w:pPr>
            <w:r w:rsidRPr="00A2217B">
              <w:rPr>
                <w:b/>
                <w:bCs/>
                <w:color w:val="FFFFFF"/>
                <w:sz w:val="20"/>
                <w:szCs w:val="20"/>
              </w:rPr>
              <w:t> </w:t>
            </w:r>
          </w:p>
        </w:tc>
        <w:tc>
          <w:tcPr>
            <w:tcW w:w="1448" w:type="dxa"/>
            <w:tcBorders>
              <w:top w:val="nil"/>
              <w:left w:val="nil"/>
              <w:bottom w:val="nil"/>
              <w:right w:val="single" w:sz="4" w:space="0" w:color="auto"/>
            </w:tcBorders>
            <w:shd w:val="clear" w:color="000000" w:fill="000000"/>
            <w:noWrap/>
            <w:vAlign w:val="center"/>
            <w:hideMark/>
          </w:tcPr>
          <w:p w14:paraId="3CE316C7" w14:textId="77777777" w:rsidR="004E3F6E" w:rsidRPr="00A2217B" w:rsidRDefault="004E3F6E" w:rsidP="004873C0">
            <w:pPr>
              <w:rPr>
                <w:b/>
                <w:bCs/>
                <w:color w:val="FFFFFF"/>
                <w:sz w:val="20"/>
                <w:szCs w:val="20"/>
              </w:rPr>
            </w:pPr>
            <w:r w:rsidRPr="00A2217B">
              <w:rPr>
                <w:b/>
                <w:bCs/>
                <w:color w:val="FFFFFF"/>
                <w:sz w:val="20"/>
                <w:szCs w:val="20"/>
              </w:rPr>
              <w:t> </w:t>
            </w:r>
          </w:p>
        </w:tc>
      </w:tr>
      <w:tr w:rsidR="004E3F6E" w:rsidRPr="00A2217B" w14:paraId="17DC7F0B" w14:textId="77777777" w:rsidTr="004E3F6E">
        <w:trPr>
          <w:trHeight w:val="300"/>
          <w:tblHeader/>
          <w:jc w:val="center"/>
        </w:trPr>
        <w:tc>
          <w:tcPr>
            <w:tcW w:w="8248" w:type="dxa"/>
            <w:gridSpan w:val="7"/>
            <w:tcBorders>
              <w:top w:val="nil"/>
              <w:left w:val="single" w:sz="4" w:space="0" w:color="auto"/>
              <w:bottom w:val="nil"/>
              <w:right w:val="single" w:sz="4" w:space="0" w:color="000000"/>
            </w:tcBorders>
            <w:shd w:val="clear" w:color="000000" w:fill="000000"/>
            <w:noWrap/>
            <w:vAlign w:val="center"/>
            <w:hideMark/>
          </w:tcPr>
          <w:p w14:paraId="2F84E1F0" w14:textId="77777777" w:rsidR="004E3F6E" w:rsidRPr="00A2217B" w:rsidRDefault="004E3F6E" w:rsidP="004873C0">
            <w:pPr>
              <w:jc w:val="center"/>
              <w:rPr>
                <w:b/>
                <w:bCs/>
                <w:i/>
                <w:iCs/>
                <w:color w:val="FFFFFF"/>
                <w:sz w:val="20"/>
                <w:szCs w:val="20"/>
              </w:rPr>
            </w:pPr>
            <w:r w:rsidRPr="00A2217B">
              <w:rPr>
                <w:b/>
                <w:bCs/>
                <w:i/>
                <w:iCs/>
                <w:color w:val="FFFFFF"/>
                <w:sz w:val="20"/>
                <w:szCs w:val="20"/>
              </w:rPr>
              <w:t>Percentage (%) of In-Home Cases in which Caseworker Completed a</w:t>
            </w:r>
          </w:p>
        </w:tc>
      </w:tr>
      <w:tr w:rsidR="004E3F6E" w:rsidRPr="00A2217B" w14:paraId="5A11813C" w14:textId="77777777" w:rsidTr="004E3F6E">
        <w:trPr>
          <w:trHeight w:val="300"/>
          <w:tblHeader/>
          <w:jc w:val="center"/>
        </w:trPr>
        <w:tc>
          <w:tcPr>
            <w:tcW w:w="8248" w:type="dxa"/>
            <w:gridSpan w:val="7"/>
            <w:tcBorders>
              <w:top w:val="nil"/>
              <w:left w:val="single" w:sz="4" w:space="0" w:color="auto"/>
              <w:bottom w:val="nil"/>
              <w:right w:val="single" w:sz="4" w:space="0" w:color="000000"/>
            </w:tcBorders>
            <w:shd w:val="clear" w:color="000000" w:fill="000000"/>
            <w:noWrap/>
            <w:vAlign w:val="center"/>
            <w:hideMark/>
          </w:tcPr>
          <w:p w14:paraId="01028E16" w14:textId="77777777" w:rsidR="004E3F6E" w:rsidRPr="00A2217B" w:rsidRDefault="004E3F6E" w:rsidP="004873C0">
            <w:pPr>
              <w:jc w:val="center"/>
              <w:rPr>
                <w:b/>
                <w:bCs/>
                <w:i/>
                <w:iCs/>
                <w:color w:val="FFFFFF"/>
                <w:sz w:val="20"/>
                <w:szCs w:val="20"/>
              </w:rPr>
            </w:pPr>
            <w:r w:rsidRPr="00A2217B">
              <w:rPr>
                <w:b/>
                <w:bCs/>
                <w:i/>
                <w:iCs/>
                <w:color w:val="FFFFFF"/>
                <w:sz w:val="20"/>
                <w:szCs w:val="20"/>
              </w:rPr>
              <w:t>Face-to-Face Contact with the Family during the Prior Three Months</w:t>
            </w:r>
          </w:p>
        </w:tc>
      </w:tr>
      <w:tr w:rsidR="004E3F6E" w:rsidRPr="00A2217B" w14:paraId="55B8D362" w14:textId="77777777" w:rsidTr="004E3F6E">
        <w:trPr>
          <w:trHeight w:val="300"/>
          <w:tblHeader/>
          <w:jc w:val="center"/>
        </w:trPr>
        <w:tc>
          <w:tcPr>
            <w:tcW w:w="1964" w:type="dxa"/>
            <w:tcBorders>
              <w:top w:val="nil"/>
              <w:left w:val="single" w:sz="4" w:space="0" w:color="auto"/>
              <w:bottom w:val="nil"/>
              <w:right w:val="nil"/>
            </w:tcBorders>
            <w:shd w:val="clear" w:color="000000" w:fill="000000"/>
            <w:noWrap/>
            <w:vAlign w:val="center"/>
            <w:hideMark/>
          </w:tcPr>
          <w:p w14:paraId="6C97D12F" w14:textId="77777777" w:rsidR="004E3F6E" w:rsidRPr="00A2217B" w:rsidRDefault="004E3F6E" w:rsidP="004873C0">
            <w:pPr>
              <w:jc w:val="center"/>
              <w:rPr>
                <w:b/>
                <w:bCs/>
                <w:color w:val="FFFFFF"/>
                <w:sz w:val="20"/>
                <w:szCs w:val="20"/>
              </w:rPr>
            </w:pPr>
            <w:r w:rsidRPr="00A2217B">
              <w:rPr>
                <w:b/>
                <w:bCs/>
                <w:color w:val="FFFFFF"/>
                <w:sz w:val="20"/>
                <w:szCs w:val="20"/>
              </w:rPr>
              <w:t> </w:t>
            </w:r>
          </w:p>
        </w:tc>
        <w:tc>
          <w:tcPr>
            <w:tcW w:w="2123" w:type="dxa"/>
            <w:gridSpan w:val="2"/>
            <w:tcBorders>
              <w:top w:val="nil"/>
              <w:left w:val="nil"/>
              <w:bottom w:val="nil"/>
              <w:right w:val="nil"/>
            </w:tcBorders>
            <w:shd w:val="clear" w:color="000000" w:fill="000000"/>
            <w:noWrap/>
            <w:vAlign w:val="center"/>
            <w:hideMark/>
          </w:tcPr>
          <w:p w14:paraId="1740DD15" w14:textId="77777777" w:rsidR="004E3F6E" w:rsidRPr="00A2217B" w:rsidRDefault="004E3F6E" w:rsidP="004873C0">
            <w:pPr>
              <w:rPr>
                <w:b/>
                <w:bCs/>
                <w:color w:val="FFFFFF"/>
                <w:sz w:val="20"/>
                <w:szCs w:val="20"/>
              </w:rPr>
            </w:pPr>
            <w:r w:rsidRPr="00A2217B">
              <w:rPr>
                <w:b/>
                <w:bCs/>
                <w:color w:val="FFFFFF"/>
                <w:sz w:val="20"/>
                <w:szCs w:val="20"/>
              </w:rPr>
              <w:t> </w:t>
            </w:r>
          </w:p>
        </w:tc>
        <w:tc>
          <w:tcPr>
            <w:tcW w:w="2017" w:type="dxa"/>
            <w:gridSpan w:val="2"/>
            <w:tcBorders>
              <w:top w:val="nil"/>
              <w:left w:val="nil"/>
              <w:bottom w:val="nil"/>
              <w:right w:val="nil"/>
            </w:tcBorders>
            <w:shd w:val="clear" w:color="000000" w:fill="000000"/>
            <w:noWrap/>
            <w:vAlign w:val="center"/>
            <w:hideMark/>
          </w:tcPr>
          <w:p w14:paraId="2E6E1C69" w14:textId="77777777" w:rsidR="004E3F6E" w:rsidRPr="00A2217B" w:rsidRDefault="004E3F6E" w:rsidP="004873C0">
            <w:pPr>
              <w:rPr>
                <w:b/>
                <w:bCs/>
                <w:color w:val="FFFFFF"/>
                <w:sz w:val="20"/>
                <w:szCs w:val="20"/>
              </w:rPr>
            </w:pPr>
            <w:r w:rsidRPr="00A2217B">
              <w:rPr>
                <w:b/>
                <w:bCs/>
                <w:color w:val="FFFFFF"/>
                <w:sz w:val="20"/>
                <w:szCs w:val="20"/>
              </w:rPr>
              <w:t> </w:t>
            </w:r>
          </w:p>
        </w:tc>
        <w:tc>
          <w:tcPr>
            <w:tcW w:w="2144" w:type="dxa"/>
            <w:gridSpan w:val="2"/>
            <w:tcBorders>
              <w:top w:val="nil"/>
              <w:left w:val="nil"/>
              <w:bottom w:val="nil"/>
              <w:right w:val="single" w:sz="4" w:space="0" w:color="auto"/>
            </w:tcBorders>
            <w:shd w:val="clear" w:color="000000" w:fill="000000"/>
            <w:noWrap/>
            <w:vAlign w:val="center"/>
            <w:hideMark/>
          </w:tcPr>
          <w:p w14:paraId="5144C14F" w14:textId="77777777" w:rsidR="004E3F6E" w:rsidRPr="00A2217B" w:rsidRDefault="004E3F6E" w:rsidP="004873C0">
            <w:pPr>
              <w:rPr>
                <w:b/>
                <w:bCs/>
                <w:color w:val="FFFFFF"/>
                <w:sz w:val="20"/>
                <w:szCs w:val="20"/>
              </w:rPr>
            </w:pPr>
            <w:r w:rsidRPr="00A2217B">
              <w:rPr>
                <w:b/>
                <w:bCs/>
                <w:color w:val="FFFFFF"/>
                <w:sz w:val="20"/>
                <w:szCs w:val="20"/>
              </w:rPr>
              <w:t> </w:t>
            </w:r>
          </w:p>
        </w:tc>
      </w:tr>
      <w:tr w:rsidR="004E3F6E" w:rsidRPr="00A2217B" w14:paraId="3D57F877" w14:textId="77777777" w:rsidTr="004E3F6E">
        <w:trPr>
          <w:trHeight w:val="300"/>
          <w:tblHeader/>
          <w:jc w:val="center"/>
        </w:trPr>
        <w:tc>
          <w:tcPr>
            <w:tcW w:w="1964" w:type="dxa"/>
            <w:tcBorders>
              <w:top w:val="nil"/>
              <w:left w:val="single" w:sz="4" w:space="0" w:color="auto"/>
              <w:bottom w:val="nil"/>
              <w:right w:val="nil"/>
            </w:tcBorders>
            <w:shd w:val="clear" w:color="000000" w:fill="000000"/>
            <w:noWrap/>
            <w:vAlign w:val="center"/>
            <w:hideMark/>
          </w:tcPr>
          <w:p w14:paraId="2E922EB8" w14:textId="77777777" w:rsidR="004E3F6E" w:rsidRPr="00A2217B" w:rsidRDefault="004E3F6E" w:rsidP="004873C0">
            <w:pPr>
              <w:jc w:val="center"/>
              <w:rPr>
                <w:b/>
                <w:bCs/>
                <w:color w:val="FFFFFF"/>
                <w:sz w:val="20"/>
                <w:szCs w:val="20"/>
              </w:rPr>
            </w:pPr>
            <w:r w:rsidRPr="00A2217B">
              <w:rPr>
                <w:b/>
                <w:bCs/>
                <w:color w:val="FFFFFF"/>
                <w:sz w:val="20"/>
                <w:szCs w:val="20"/>
              </w:rPr>
              <w:t>Area</w:t>
            </w:r>
          </w:p>
        </w:tc>
        <w:tc>
          <w:tcPr>
            <w:tcW w:w="2123" w:type="dxa"/>
            <w:gridSpan w:val="2"/>
            <w:tcBorders>
              <w:top w:val="nil"/>
              <w:left w:val="nil"/>
              <w:bottom w:val="nil"/>
              <w:right w:val="nil"/>
            </w:tcBorders>
            <w:shd w:val="clear" w:color="000000" w:fill="000000"/>
            <w:noWrap/>
            <w:vAlign w:val="center"/>
            <w:hideMark/>
          </w:tcPr>
          <w:p w14:paraId="391713B3" w14:textId="77777777" w:rsidR="004E3F6E" w:rsidRPr="00A2217B" w:rsidRDefault="004E3F6E" w:rsidP="004873C0">
            <w:pPr>
              <w:jc w:val="center"/>
              <w:rPr>
                <w:b/>
                <w:bCs/>
                <w:color w:val="FFFFFF"/>
                <w:sz w:val="20"/>
                <w:szCs w:val="20"/>
              </w:rPr>
            </w:pPr>
            <w:r>
              <w:rPr>
                <w:b/>
                <w:bCs/>
                <w:color w:val="FFFFFF"/>
                <w:sz w:val="20"/>
                <w:szCs w:val="20"/>
              </w:rPr>
              <w:t>2011</w:t>
            </w:r>
          </w:p>
        </w:tc>
        <w:tc>
          <w:tcPr>
            <w:tcW w:w="2017" w:type="dxa"/>
            <w:gridSpan w:val="2"/>
            <w:tcBorders>
              <w:top w:val="nil"/>
              <w:left w:val="nil"/>
              <w:bottom w:val="nil"/>
              <w:right w:val="nil"/>
            </w:tcBorders>
            <w:shd w:val="clear" w:color="000000" w:fill="000000"/>
            <w:noWrap/>
            <w:vAlign w:val="center"/>
            <w:hideMark/>
          </w:tcPr>
          <w:p w14:paraId="455B7F1C" w14:textId="77777777" w:rsidR="004E3F6E" w:rsidRPr="00A2217B" w:rsidRDefault="004E3F6E" w:rsidP="004873C0">
            <w:pPr>
              <w:jc w:val="center"/>
              <w:rPr>
                <w:b/>
                <w:bCs/>
                <w:color w:val="FFFFFF"/>
                <w:sz w:val="20"/>
                <w:szCs w:val="20"/>
              </w:rPr>
            </w:pPr>
            <w:r>
              <w:rPr>
                <w:b/>
                <w:bCs/>
                <w:color w:val="FFFFFF"/>
                <w:sz w:val="20"/>
                <w:szCs w:val="20"/>
              </w:rPr>
              <w:t>2012</w:t>
            </w:r>
          </w:p>
        </w:tc>
        <w:tc>
          <w:tcPr>
            <w:tcW w:w="2144" w:type="dxa"/>
            <w:gridSpan w:val="2"/>
            <w:tcBorders>
              <w:top w:val="nil"/>
              <w:left w:val="nil"/>
              <w:bottom w:val="nil"/>
              <w:right w:val="single" w:sz="4" w:space="0" w:color="auto"/>
            </w:tcBorders>
            <w:shd w:val="clear" w:color="000000" w:fill="000000"/>
            <w:noWrap/>
            <w:vAlign w:val="center"/>
            <w:hideMark/>
          </w:tcPr>
          <w:p w14:paraId="62284124" w14:textId="77777777" w:rsidR="004E3F6E" w:rsidRPr="00A2217B" w:rsidRDefault="004E3F6E" w:rsidP="004873C0">
            <w:pPr>
              <w:jc w:val="center"/>
              <w:rPr>
                <w:b/>
                <w:bCs/>
                <w:color w:val="FFFFFF"/>
                <w:sz w:val="20"/>
                <w:szCs w:val="20"/>
              </w:rPr>
            </w:pPr>
            <w:r>
              <w:rPr>
                <w:b/>
                <w:bCs/>
                <w:color w:val="FFFFFF"/>
                <w:sz w:val="20"/>
                <w:szCs w:val="20"/>
              </w:rPr>
              <w:t>2013</w:t>
            </w:r>
          </w:p>
        </w:tc>
      </w:tr>
      <w:tr w:rsidR="004E3F6E" w:rsidRPr="00A2217B" w14:paraId="6EAB88B2" w14:textId="77777777" w:rsidTr="004E3F6E">
        <w:trPr>
          <w:trHeight w:val="152"/>
          <w:jc w:val="center"/>
        </w:trPr>
        <w:tc>
          <w:tcPr>
            <w:tcW w:w="1964" w:type="dxa"/>
            <w:tcBorders>
              <w:top w:val="single" w:sz="4" w:space="0" w:color="auto"/>
              <w:left w:val="single" w:sz="4" w:space="0" w:color="auto"/>
              <w:bottom w:val="nil"/>
              <w:right w:val="nil"/>
            </w:tcBorders>
            <w:shd w:val="clear" w:color="auto" w:fill="auto"/>
            <w:noWrap/>
            <w:vAlign w:val="center"/>
            <w:hideMark/>
          </w:tcPr>
          <w:p w14:paraId="72E3C6C4" w14:textId="77777777" w:rsidR="004E3F6E" w:rsidRPr="00A2217B" w:rsidRDefault="004E3F6E" w:rsidP="004873C0">
            <w:pPr>
              <w:ind w:right="702"/>
              <w:jc w:val="right"/>
              <w:rPr>
                <w:sz w:val="20"/>
                <w:szCs w:val="20"/>
              </w:rPr>
            </w:pPr>
            <w:r w:rsidRPr="00A2217B">
              <w:rPr>
                <w:sz w:val="20"/>
                <w:szCs w:val="20"/>
              </w:rPr>
              <w:t>1</w:t>
            </w:r>
          </w:p>
        </w:tc>
        <w:tc>
          <w:tcPr>
            <w:tcW w:w="2123" w:type="dxa"/>
            <w:gridSpan w:val="2"/>
            <w:tcBorders>
              <w:top w:val="single" w:sz="4" w:space="0" w:color="auto"/>
              <w:left w:val="single" w:sz="4" w:space="0" w:color="auto"/>
              <w:bottom w:val="nil"/>
              <w:right w:val="single" w:sz="4" w:space="0" w:color="auto"/>
            </w:tcBorders>
            <w:shd w:val="clear" w:color="auto" w:fill="auto"/>
            <w:noWrap/>
            <w:vAlign w:val="center"/>
          </w:tcPr>
          <w:p w14:paraId="274D4FBB" w14:textId="77777777" w:rsidR="004E3F6E" w:rsidRPr="00A2217B" w:rsidRDefault="004E3F6E" w:rsidP="004873C0">
            <w:pPr>
              <w:ind w:right="755" w:firstLineChars="100" w:firstLine="200"/>
              <w:jc w:val="right"/>
              <w:rPr>
                <w:sz w:val="20"/>
                <w:szCs w:val="20"/>
              </w:rPr>
            </w:pPr>
            <w:r>
              <w:rPr>
                <w:sz w:val="20"/>
                <w:szCs w:val="20"/>
              </w:rPr>
              <w:t>59.4</w:t>
            </w:r>
          </w:p>
        </w:tc>
        <w:tc>
          <w:tcPr>
            <w:tcW w:w="2017" w:type="dxa"/>
            <w:gridSpan w:val="2"/>
            <w:tcBorders>
              <w:top w:val="single" w:sz="4" w:space="0" w:color="auto"/>
              <w:left w:val="nil"/>
              <w:bottom w:val="nil"/>
              <w:right w:val="nil"/>
            </w:tcBorders>
            <w:shd w:val="clear" w:color="auto" w:fill="auto"/>
            <w:noWrap/>
            <w:vAlign w:val="center"/>
          </w:tcPr>
          <w:p w14:paraId="5BF87C98" w14:textId="77777777" w:rsidR="004E3F6E" w:rsidRPr="00A2217B" w:rsidRDefault="004E3F6E" w:rsidP="004873C0">
            <w:pPr>
              <w:ind w:right="702" w:firstLineChars="100" w:firstLine="200"/>
              <w:jc w:val="right"/>
              <w:rPr>
                <w:sz w:val="20"/>
                <w:szCs w:val="20"/>
              </w:rPr>
            </w:pPr>
            <w:r>
              <w:rPr>
                <w:sz w:val="20"/>
                <w:szCs w:val="20"/>
              </w:rPr>
              <w:t>64.6</w:t>
            </w:r>
          </w:p>
        </w:tc>
        <w:tc>
          <w:tcPr>
            <w:tcW w:w="2144" w:type="dxa"/>
            <w:gridSpan w:val="2"/>
            <w:tcBorders>
              <w:top w:val="single" w:sz="4" w:space="0" w:color="auto"/>
              <w:left w:val="single" w:sz="4" w:space="0" w:color="auto"/>
              <w:bottom w:val="nil"/>
              <w:right w:val="single" w:sz="4" w:space="0" w:color="auto"/>
            </w:tcBorders>
            <w:shd w:val="clear" w:color="auto" w:fill="auto"/>
            <w:noWrap/>
            <w:vAlign w:val="center"/>
          </w:tcPr>
          <w:p w14:paraId="66D0ADE1" w14:textId="77777777" w:rsidR="004E3F6E" w:rsidRPr="00A2217B" w:rsidRDefault="004E3F6E" w:rsidP="004873C0">
            <w:pPr>
              <w:ind w:right="776"/>
              <w:jc w:val="right"/>
              <w:rPr>
                <w:sz w:val="20"/>
                <w:szCs w:val="20"/>
              </w:rPr>
            </w:pPr>
            <w:r>
              <w:rPr>
                <w:sz w:val="20"/>
                <w:szCs w:val="20"/>
              </w:rPr>
              <w:t>78.4</w:t>
            </w:r>
          </w:p>
        </w:tc>
      </w:tr>
      <w:tr w:rsidR="004E3F6E" w:rsidRPr="00A2217B" w14:paraId="697F6068" w14:textId="77777777" w:rsidTr="004E3F6E">
        <w:trPr>
          <w:trHeight w:val="60"/>
          <w:jc w:val="center"/>
        </w:trPr>
        <w:tc>
          <w:tcPr>
            <w:tcW w:w="1964" w:type="dxa"/>
            <w:tcBorders>
              <w:top w:val="nil"/>
              <w:left w:val="single" w:sz="4" w:space="0" w:color="auto"/>
              <w:bottom w:val="nil"/>
              <w:right w:val="nil"/>
            </w:tcBorders>
            <w:shd w:val="clear" w:color="auto" w:fill="auto"/>
            <w:noWrap/>
            <w:vAlign w:val="center"/>
            <w:hideMark/>
          </w:tcPr>
          <w:p w14:paraId="45A80D73" w14:textId="77777777" w:rsidR="004E3F6E" w:rsidRPr="00A2217B" w:rsidRDefault="004E3F6E" w:rsidP="004873C0">
            <w:pPr>
              <w:ind w:right="702"/>
              <w:jc w:val="right"/>
              <w:rPr>
                <w:sz w:val="20"/>
                <w:szCs w:val="20"/>
              </w:rPr>
            </w:pPr>
            <w:r w:rsidRPr="00A2217B">
              <w:rPr>
                <w:sz w:val="20"/>
                <w:szCs w:val="20"/>
              </w:rPr>
              <w:t>2</w:t>
            </w:r>
          </w:p>
        </w:tc>
        <w:tc>
          <w:tcPr>
            <w:tcW w:w="2123" w:type="dxa"/>
            <w:gridSpan w:val="2"/>
            <w:tcBorders>
              <w:top w:val="nil"/>
              <w:left w:val="single" w:sz="4" w:space="0" w:color="auto"/>
              <w:bottom w:val="nil"/>
              <w:right w:val="single" w:sz="4" w:space="0" w:color="auto"/>
            </w:tcBorders>
            <w:shd w:val="clear" w:color="auto" w:fill="auto"/>
            <w:noWrap/>
            <w:vAlign w:val="center"/>
          </w:tcPr>
          <w:p w14:paraId="5B18C71F" w14:textId="77777777" w:rsidR="004E3F6E" w:rsidRPr="00A2217B" w:rsidRDefault="004E3F6E" w:rsidP="004873C0">
            <w:pPr>
              <w:ind w:right="755" w:firstLineChars="100" w:firstLine="200"/>
              <w:jc w:val="right"/>
              <w:rPr>
                <w:sz w:val="20"/>
                <w:szCs w:val="20"/>
              </w:rPr>
            </w:pPr>
            <w:r>
              <w:rPr>
                <w:sz w:val="20"/>
                <w:szCs w:val="20"/>
              </w:rPr>
              <w:t>70.4</w:t>
            </w:r>
          </w:p>
        </w:tc>
        <w:tc>
          <w:tcPr>
            <w:tcW w:w="2017" w:type="dxa"/>
            <w:gridSpan w:val="2"/>
            <w:tcBorders>
              <w:top w:val="nil"/>
              <w:left w:val="nil"/>
              <w:bottom w:val="nil"/>
              <w:right w:val="nil"/>
            </w:tcBorders>
            <w:shd w:val="clear" w:color="auto" w:fill="auto"/>
            <w:noWrap/>
            <w:vAlign w:val="center"/>
          </w:tcPr>
          <w:p w14:paraId="609BE200" w14:textId="77777777" w:rsidR="004E3F6E" w:rsidRPr="00A2217B" w:rsidRDefault="004E3F6E" w:rsidP="004873C0">
            <w:pPr>
              <w:ind w:right="702" w:firstLineChars="100" w:firstLine="200"/>
              <w:jc w:val="right"/>
              <w:rPr>
                <w:sz w:val="20"/>
                <w:szCs w:val="20"/>
              </w:rPr>
            </w:pPr>
            <w:r>
              <w:rPr>
                <w:sz w:val="20"/>
                <w:szCs w:val="20"/>
              </w:rPr>
              <w:t>61.8</w:t>
            </w:r>
          </w:p>
        </w:tc>
        <w:tc>
          <w:tcPr>
            <w:tcW w:w="2144" w:type="dxa"/>
            <w:gridSpan w:val="2"/>
            <w:tcBorders>
              <w:top w:val="nil"/>
              <w:left w:val="single" w:sz="4" w:space="0" w:color="auto"/>
              <w:bottom w:val="nil"/>
              <w:right w:val="single" w:sz="4" w:space="0" w:color="auto"/>
            </w:tcBorders>
            <w:shd w:val="clear" w:color="auto" w:fill="auto"/>
            <w:noWrap/>
            <w:vAlign w:val="center"/>
          </w:tcPr>
          <w:p w14:paraId="573A0FDC" w14:textId="77777777" w:rsidR="004E3F6E" w:rsidRPr="00A2217B" w:rsidRDefault="004E3F6E" w:rsidP="004873C0">
            <w:pPr>
              <w:ind w:right="776"/>
              <w:jc w:val="right"/>
              <w:rPr>
                <w:sz w:val="20"/>
                <w:szCs w:val="20"/>
              </w:rPr>
            </w:pPr>
            <w:r>
              <w:rPr>
                <w:sz w:val="20"/>
                <w:szCs w:val="20"/>
              </w:rPr>
              <w:t>79.4</w:t>
            </w:r>
          </w:p>
        </w:tc>
      </w:tr>
      <w:tr w:rsidR="004E3F6E" w:rsidRPr="00A2217B" w14:paraId="199E4203" w14:textId="77777777" w:rsidTr="004E3F6E">
        <w:trPr>
          <w:trHeight w:val="60"/>
          <w:jc w:val="center"/>
        </w:trPr>
        <w:tc>
          <w:tcPr>
            <w:tcW w:w="1964" w:type="dxa"/>
            <w:tcBorders>
              <w:top w:val="nil"/>
              <w:left w:val="single" w:sz="4" w:space="0" w:color="auto"/>
              <w:bottom w:val="nil"/>
              <w:right w:val="nil"/>
            </w:tcBorders>
            <w:shd w:val="clear" w:color="auto" w:fill="auto"/>
            <w:noWrap/>
            <w:vAlign w:val="center"/>
            <w:hideMark/>
          </w:tcPr>
          <w:p w14:paraId="56A26ECA" w14:textId="77777777" w:rsidR="004E3F6E" w:rsidRPr="00A2217B" w:rsidRDefault="004E3F6E" w:rsidP="004873C0">
            <w:pPr>
              <w:ind w:right="702"/>
              <w:jc w:val="right"/>
              <w:rPr>
                <w:sz w:val="20"/>
                <w:szCs w:val="20"/>
              </w:rPr>
            </w:pPr>
            <w:r w:rsidRPr="00A2217B">
              <w:rPr>
                <w:sz w:val="20"/>
                <w:szCs w:val="20"/>
              </w:rPr>
              <w:t>3</w:t>
            </w:r>
          </w:p>
        </w:tc>
        <w:tc>
          <w:tcPr>
            <w:tcW w:w="2123" w:type="dxa"/>
            <w:gridSpan w:val="2"/>
            <w:tcBorders>
              <w:top w:val="nil"/>
              <w:left w:val="single" w:sz="4" w:space="0" w:color="auto"/>
              <w:bottom w:val="nil"/>
              <w:right w:val="single" w:sz="4" w:space="0" w:color="auto"/>
            </w:tcBorders>
            <w:shd w:val="clear" w:color="auto" w:fill="auto"/>
            <w:noWrap/>
            <w:vAlign w:val="center"/>
          </w:tcPr>
          <w:p w14:paraId="308122A3" w14:textId="77777777" w:rsidR="004E3F6E" w:rsidRPr="00A2217B" w:rsidRDefault="004E3F6E" w:rsidP="004873C0">
            <w:pPr>
              <w:ind w:right="755" w:firstLineChars="100" w:firstLine="200"/>
              <w:jc w:val="right"/>
              <w:rPr>
                <w:sz w:val="20"/>
                <w:szCs w:val="20"/>
              </w:rPr>
            </w:pPr>
            <w:r>
              <w:rPr>
                <w:sz w:val="20"/>
                <w:szCs w:val="20"/>
              </w:rPr>
              <w:t>92.5</w:t>
            </w:r>
          </w:p>
        </w:tc>
        <w:tc>
          <w:tcPr>
            <w:tcW w:w="2017" w:type="dxa"/>
            <w:gridSpan w:val="2"/>
            <w:tcBorders>
              <w:top w:val="nil"/>
              <w:left w:val="nil"/>
              <w:bottom w:val="nil"/>
              <w:right w:val="nil"/>
            </w:tcBorders>
            <w:shd w:val="clear" w:color="auto" w:fill="auto"/>
            <w:noWrap/>
            <w:vAlign w:val="center"/>
          </w:tcPr>
          <w:p w14:paraId="651A863A" w14:textId="77777777" w:rsidR="004E3F6E" w:rsidRPr="00A2217B" w:rsidRDefault="004E3F6E" w:rsidP="004873C0">
            <w:pPr>
              <w:ind w:right="702" w:firstLineChars="100" w:firstLine="200"/>
              <w:jc w:val="right"/>
              <w:rPr>
                <w:sz w:val="20"/>
                <w:szCs w:val="20"/>
              </w:rPr>
            </w:pPr>
            <w:r>
              <w:rPr>
                <w:sz w:val="20"/>
                <w:szCs w:val="20"/>
              </w:rPr>
              <w:t>60.0</w:t>
            </w:r>
          </w:p>
        </w:tc>
        <w:tc>
          <w:tcPr>
            <w:tcW w:w="2144" w:type="dxa"/>
            <w:gridSpan w:val="2"/>
            <w:tcBorders>
              <w:top w:val="nil"/>
              <w:left w:val="single" w:sz="4" w:space="0" w:color="auto"/>
              <w:bottom w:val="nil"/>
              <w:right w:val="single" w:sz="4" w:space="0" w:color="auto"/>
            </w:tcBorders>
            <w:shd w:val="clear" w:color="auto" w:fill="auto"/>
            <w:noWrap/>
            <w:vAlign w:val="center"/>
          </w:tcPr>
          <w:p w14:paraId="459C560E" w14:textId="77777777" w:rsidR="004E3F6E" w:rsidRPr="00A2217B" w:rsidRDefault="004E3F6E" w:rsidP="004873C0">
            <w:pPr>
              <w:ind w:right="776"/>
              <w:jc w:val="right"/>
              <w:rPr>
                <w:sz w:val="20"/>
                <w:szCs w:val="20"/>
              </w:rPr>
            </w:pPr>
            <w:r>
              <w:rPr>
                <w:sz w:val="20"/>
                <w:szCs w:val="20"/>
              </w:rPr>
              <w:t>89.3</w:t>
            </w:r>
          </w:p>
        </w:tc>
      </w:tr>
      <w:tr w:rsidR="004E3F6E" w:rsidRPr="00A2217B" w14:paraId="29E6E316" w14:textId="77777777" w:rsidTr="004E3F6E">
        <w:trPr>
          <w:trHeight w:val="300"/>
          <w:jc w:val="center"/>
        </w:trPr>
        <w:tc>
          <w:tcPr>
            <w:tcW w:w="1964" w:type="dxa"/>
            <w:tcBorders>
              <w:top w:val="nil"/>
              <w:left w:val="single" w:sz="4" w:space="0" w:color="auto"/>
              <w:bottom w:val="nil"/>
              <w:right w:val="nil"/>
            </w:tcBorders>
            <w:shd w:val="clear" w:color="auto" w:fill="auto"/>
            <w:noWrap/>
            <w:vAlign w:val="center"/>
            <w:hideMark/>
          </w:tcPr>
          <w:p w14:paraId="67572848" w14:textId="77777777" w:rsidR="004E3F6E" w:rsidRPr="00A2217B" w:rsidRDefault="004E3F6E" w:rsidP="004873C0">
            <w:pPr>
              <w:ind w:right="702"/>
              <w:jc w:val="right"/>
              <w:rPr>
                <w:sz w:val="20"/>
                <w:szCs w:val="20"/>
              </w:rPr>
            </w:pPr>
            <w:r w:rsidRPr="00A2217B">
              <w:rPr>
                <w:sz w:val="20"/>
                <w:szCs w:val="20"/>
              </w:rPr>
              <w:t>4</w:t>
            </w:r>
          </w:p>
        </w:tc>
        <w:tc>
          <w:tcPr>
            <w:tcW w:w="2123" w:type="dxa"/>
            <w:gridSpan w:val="2"/>
            <w:tcBorders>
              <w:top w:val="nil"/>
              <w:left w:val="single" w:sz="4" w:space="0" w:color="auto"/>
              <w:bottom w:val="nil"/>
              <w:right w:val="single" w:sz="4" w:space="0" w:color="auto"/>
            </w:tcBorders>
            <w:shd w:val="clear" w:color="auto" w:fill="auto"/>
            <w:noWrap/>
            <w:vAlign w:val="center"/>
          </w:tcPr>
          <w:p w14:paraId="15B13F08" w14:textId="77777777" w:rsidR="004E3F6E" w:rsidRPr="00A2217B" w:rsidRDefault="004E3F6E" w:rsidP="004873C0">
            <w:pPr>
              <w:ind w:right="755" w:firstLineChars="100" w:firstLine="200"/>
              <w:jc w:val="right"/>
              <w:rPr>
                <w:sz w:val="20"/>
                <w:szCs w:val="20"/>
              </w:rPr>
            </w:pPr>
            <w:r>
              <w:rPr>
                <w:sz w:val="20"/>
                <w:szCs w:val="20"/>
              </w:rPr>
              <w:t>86.4</w:t>
            </w:r>
          </w:p>
        </w:tc>
        <w:tc>
          <w:tcPr>
            <w:tcW w:w="2017" w:type="dxa"/>
            <w:gridSpan w:val="2"/>
            <w:tcBorders>
              <w:top w:val="nil"/>
              <w:left w:val="nil"/>
              <w:bottom w:val="nil"/>
              <w:right w:val="nil"/>
            </w:tcBorders>
            <w:shd w:val="clear" w:color="auto" w:fill="auto"/>
            <w:noWrap/>
            <w:vAlign w:val="center"/>
          </w:tcPr>
          <w:p w14:paraId="4BCBC676" w14:textId="77777777" w:rsidR="004E3F6E" w:rsidRPr="00A2217B" w:rsidRDefault="004E3F6E" w:rsidP="004873C0">
            <w:pPr>
              <w:ind w:right="702" w:firstLineChars="100" w:firstLine="200"/>
              <w:jc w:val="right"/>
              <w:rPr>
                <w:sz w:val="20"/>
                <w:szCs w:val="20"/>
              </w:rPr>
            </w:pPr>
            <w:r>
              <w:rPr>
                <w:sz w:val="20"/>
                <w:szCs w:val="20"/>
              </w:rPr>
              <w:t>97.1</w:t>
            </w:r>
          </w:p>
        </w:tc>
        <w:tc>
          <w:tcPr>
            <w:tcW w:w="2144" w:type="dxa"/>
            <w:gridSpan w:val="2"/>
            <w:tcBorders>
              <w:top w:val="nil"/>
              <w:left w:val="single" w:sz="4" w:space="0" w:color="auto"/>
              <w:bottom w:val="nil"/>
              <w:right w:val="single" w:sz="4" w:space="0" w:color="auto"/>
            </w:tcBorders>
            <w:shd w:val="clear" w:color="auto" w:fill="auto"/>
            <w:noWrap/>
            <w:vAlign w:val="center"/>
          </w:tcPr>
          <w:p w14:paraId="63896B51" w14:textId="77777777" w:rsidR="004E3F6E" w:rsidRPr="00A2217B" w:rsidRDefault="004E3F6E" w:rsidP="004873C0">
            <w:pPr>
              <w:ind w:right="776"/>
              <w:jc w:val="right"/>
              <w:rPr>
                <w:sz w:val="20"/>
                <w:szCs w:val="20"/>
              </w:rPr>
            </w:pPr>
            <w:r>
              <w:rPr>
                <w:sz w:val="20"/>
                <w:szCs w:val="20"/>
              </w:rPr>
              <w:t>98.6</w:t>
            </w:r>
          </w:p>
        </w:tc>
      </w:tr>
      <w:tr w:rsidR="004E3F6E" w:rsidRPr="00A2217B" w14:paraId="68699897" w14:textId="77777777" w:rsidTr="004E3F6E">
        <w:trPr>
          <w:trHeight w:val="60"/>
          <w:jc w:val="center"/>
        </w:trPr>
        <w:tc>
          <w:tcPr>
            <w:tcW w:w="1964" w:type="dxa"/>
            <w:tcBorders>
              <w:top w:val="nil"/>
              <w:left w:val="single" w:sz="4" w:space="0" w:color="auto"/>
              <w:bottom w:val="nil"/>
              <w:right w:val="nil"/>
            </w:tcBorders>
            <w:shd w:val="clear" w:color="auto" w:fill="auto"/>
            <w:noWrap/>
            <w:vAlign w:val="center"/>
            <w:hideMark/>
          </w:tcPr>
          <w:p w14:paraId="19A2829C" w14:textId="77777777" w:rsidR="004E3F6E" w:rsidRPr="00A2217B" w:rsidRDefault="004E3F6E" w:rsidP="004873C0">
            <w:pPr>
              <w:ind w:right="702"/>
              <w:jc w:val="right"/>
              <w:rPr>
                <w:sz w:val="20"/>
                <w:szCs w:val="20"/>
              </w:rPr>
            </w:pPr>
            <w:r w:rsidRPr="00A2217B">
              <w:rPr>
                <w:sz w:val="20"/>
                <w:szCs w:val="20"/>
              </w:rPr>
              <w:t>5</w:t>
            </w:r>
          </w:p>
        </w:tc>
        <w:tc>
          <w:tcPr>
            <w:tcW w:w="2123" w:type="dxa"/>
            <w:gridSpan w:val="2"/>
            <w:tcBorders>
              <w:top w:val="nil"/>
              <w:left w:val="single" w:sz="4" w:space="0" w:color="auto"/>
              <w:bottom w:val="nil"/>
              <w:right w:val="single" w:sz="4" w:space="0" w:color="auto"/>
            </w:tcBorders>
            <w:shd w:val="clear" w:color="auto" w:fill="auto"/>
            <w:noWrap/>
            <w:vAlign w:val="center"/>
          </w:tcPr>
          <w:p w14:paraId="0A795652" w14:textId="77777777" w:rsidR="004E3F6E" w:rsidRPr="00A2217B" w:rsidRDefault="004E3F6E" w:rsidP="004873C0">
            <w:pPr>
              <w:ind w:right="755" w:firstLineChars="100" w:firstLine="200"/>
              <w:jc w:val="right"/>
              <w:rPr>
                <w:sz w:val="20"/>
                <w:szCs w:val="20"/>
              </w:rPr>
            </w:pPr>
            <w:r>
              <w:rPr>
                <w:sz w:val="20"/>
                <w:szCs w:val="20"/>
              </w:rPr>
              <w:t>82.4</w:t>
            </w:r>
          </w:p>
        </w:tc>
        <w:tc>
          <w:tcPr>
            <w:tcW w:w="2017" w:type="dxa"/>
            <w:gridSpan w:val="2"/>
            <w:tcBorders>
              <w:top w:val="nil"/>
              <w:left w:val="nil"/>
              <w:bottom w:val="nil"/>
              <w:right w:val="nil"/>
            </w:tcBorders>
            <w:shd w:val="clear" w:color="auto" w:fill="auto"/>
            <w:noWrap/>
            <w:vAlign w:val="center"/>
          </w:tcPr>
          <w:p w14:paraId="6BF12B61" w14:textId="77777777" w:rsidR="004E3F6E" w:rsidRPr="00A2217B" w:rsidRDefault="004E3F6E" w:rsidP="004873C0">
            <w:pPr>
              <w:ind w:right="702" w:firstLineChars="100" w:firstLine="200"/>
              <w:jc w:val="right"/>
              <w:rPr>
                <w:sz w:val="20"/>
                <w:szCs w:val="20"/>
              </w:rPr>
            </w:pPr>
            <w:r>
              <w:rPr>
                <w:sz w:val="20"/>
                <w:szCs w:val="20"/>
              </w:rPr>
              <w:t>92.5</w:t>
            </w:r>
          </w:p>
        </w:tc>
        <w:tc>
          <w:tcPr>
            <w:tcW w:w="2144" w:type="dxa"/>
            <w:gridSpan w:val="2"/>
            <w:tcBorders>
              <w:top w:val="nil"/>
              <w:left w:val="single" w:sz="4" w:space="0" w:color="auto"/>
              <w:bottom w:val="nil"/>
              <w:right w:val="single" w:sz="4" w:space="0" w:color="auto"/>
            </w:tcBorders>
            <w:shd w:val="clear" w:color="auto" w:fill="auto"/>
            <w:noWrap/>
            <w:vAlign w:val="center"/>
          </w:tcPr>
          <w:p w14:paraId="1E1A0CCB" w14:textId="77777777" w:rsidR="004E3F6E" w:rsidRPr="00A2217B" w:rsidRDefault="004E3F6E" w:rsidP="004873C0">
            <w:pPr>
              <w:ind w:right="776"/>
              <w:jc w:val="right"/>
              <w:rPr>
                <w:sz w:val="20"/>
                <w:szCs w:val="20"/>
              </w:rPr>
            </w:pPr>
            <w:r>
              <w:rPr>
                <w:sz w:val="20"/>
                <w:szCs w:val="20"/>
              </w:rPr>
              <w:t>87.0</w:t>
            </w:r>
          </w:p>
        </w:tc>
      </w:tr>
      <w:tr w:rsidR="004E3F6E" w:rsidRPr="00A2217B" w14:paraId="13D5581A" w14:textId="77777777" w:rsidTr="004E3F6E">
        <w:trPr>
          <w:trHeight w:val="300"/>
          <w:jc w:val="center"/>
        </w:trPr>
        <w:tc>
          <w:tcPr>
            <w:tcW w:w="1964" w:type="dxa"/>
            <w:tcBorders>
              <w:top w:val="nil"/>
              <w:left w:val="single" w:sz="4" w:space="0" w:color="auto"/>
              <w:bottom w:val="nil"/>
              <w:right w:val="nil"/>
            </w:tcBorders>
            <w:shd w:val="clear" w:color="auto" w:fill="auto"/>
            <w:noWrap/>
            <w:vAlign w:val="center"/>
            <w:hideMark/>
          </w:tcPr>
          <w:p w14:paraId="360FD8AF" w14:textId="77777777" w:rsidR="004E3F6E" w:rsidRPr="00A2217B" w:rsidRDefault="004E3F6E" w:rsidP="004873C0">
            <w:pPr>
              <w:ind w:right="702"/>
              <w:jc w:val="right"/>
              <w:rPr>
                <w:sz w:val="20"/>
                <w:szCs w:val="20"/>
              </w:rPr>
            </w:pPr>
            <w:r w:rsidRPr="00A2217B">
              <w:rPr>
                <w:sz w:val="20"/>
                <w:szCs w:val="20"/>
              </w:rPr>
              <w:t>6</w:t>
            </w:r>
          </w:p>
        </w:tc>
        <w:tc>
          <w:tcPr>
            <w:tcW w:w="2123" w:type="dxa"/>
            <w:gridSpan w:val="2"/>
            <w:tcBorders>
              <w:top w:val="nil"/>
              <w:left w:val="single" w:sz="4" w:space="0" w:color="auto"/>
              <w:bottom w:val="nil"/>
              <w:right w:val="single" w:sz="4" w:space="0" w:color="auto"/>
            </w:tcBorders>
            <w:shd w:val="clear" w:color="auto" w:fill="auto"/>
            <w:noWrap/>
            <w:vAlign w:val="center"/>
          </w:tcPr>
          <w:p w14:paraId="18F886C5" w14:textId="77777777" w:rsidR="004E3F6E" w:rsidRPr="00A2217B" w:rsidRDefault="004E3F6E" w:rsidP="004873C0">
            <w:pPr>
              <w:ind w:right="755" w:firstLineChars="100" w:firstLine="200"/>
              <w:jc w:val="right"/>
              <w:rPr>
                <w:sz w:val="20"/>
                <w:szCs w:val="20"/>
              </w:rPr>
            </w:pPr>
            <w:r>
              <w:rPr>
                <w:sz w:val="20"/>
                <w:szCs w:val="20"/>
              </w:rPr>
              <w:t>71.4</w:t>
            </w:r>
          </w:p>
        </w:tc>
        <w:tc>
          <w:tcPr>
            <w:tcW w:w="2017" w:type="dxa"/>
            <w:gridSpan w:val="2"/>
            <w:tcBorders>
              <w:top w:val="nil"/>
              <w:left w:val="nil"/>
              <w:bottom w:val="nil"/>
              <w:right w:val="nil"/>
            </w:tcBorders>
            <w:shd w:val="clear" w:color="auto" w:fill="auto"/>
            <w:noWrap/>
            <w:vAlign w:val="center"/>
          </w:tcPr>
          <w:p w14:paraId="1156FB33" w14:textId="77777777" w:rsidR="004E3F6E" w:rsidRPr="00A2217B" w:rsidRDefault="004E3F6E" w:rsidP="004873C0">
            <w:pPr>
              <w:ind w:right="702" w:firstLineChars="100" w:firstLine="200"/>
              <w:jc w:val="right"/>
              <w:rPr>
                <w:sz w:val="20"/>
                <w:szCs w:val="20"/>
              </w:rPr>
            </w:pPr>
            <w:r>
              <w:rPr>
                <w:sz w:val="20"/>
                <w:szCs w:val="20"/>
              </w:rPr>
              <w:t>84.6</w:t>
            </w:r>
          </w:p>
        </w:tc>
        <w:tc>
          <w:tcPr>
            <w:tcW w:w="2144" w:type="dxa"/>
            <w:gridSpan w:val="2"/>
            <w:tcBorders>
              <w:top w:val="nil"/>
              <w:left w:val="single" w:sz="4" w:space="0" w:color="auto"/>
              <w:bottom w:val="nil"/>
              <w:right w:val="single" w:sz="4" w:space="0" w:color="auto"/>
            </w:tcBorders>
            <w:shd w:val="clear" w:color="auto" w:fill="auto"/>
            <w:noWrap/>
            <w:vAlign w:val="center"/>
          </w:tcPr>
          <w:p w14:paraId="50EF9FE1" w14:textId="77777777" w:rsidR="004E3F6E" w:rsidRPr="00A2217B" w:rsidRDefault="004E3F6E" w:rsidP="004873C0">
            <w:pPr>
              <w:ind w:right="776"/>
              <w:jc w:val="right"/>
              <w:rPr>
                <w:sz w:val="20"/>
                <w:szCs w:val="20"/>
              </w:rPr>
            </w:pPr>
            <w:r>
              <w:rPr>
                <w:sz w:val="20"/>
                <w:szCs w:val="20"/>
              </w:rPr>
              <w:t>92.4</w:t>
            </w:r>
          </w:p>
        </w:tc>
      </w:tr>
      <w:tr w:rsidR="004E3F6E" w:rsidRPr="00A2217B" w14:paraId="3F563AA0" w14:textId="77777777" w:rsidTr="004E3F6E">
        <w:trPr>
          <w:trHeight w:val="60"/>
          <w:jc w:val="center"/>
        </w:trPr>
        <w:tc>
          <w:tcPr>
            <w:tcW w:w="1964" w:type="dxa"/>
            <w:tcBorders>
              <w:top w:val="nil"/>
              <w:left w:val="single" w:sz="4" w:space="0" w:color="auto"/>
              <w:bottom w:val="nil"/>
              <w:right w:val="nil"/>
            </w:tcBorders>
            <w:shd w:val="clear" w:color="auto" w:fill="auto"/>
            <w:noWrap/>
            <w:vAlign w:val="center"/>
            <w:hideMark/>
          </w:tcPr>
          <w:p w14:paraId="7AA19D5B" w14:textId="77777777" w:rsidR="004E3F6E" w:rsidRPr="00A2217B" w:rsidRDefault="004E3F6E" w:rsidP="004873C0">
            <w:pPr>
              <w:ind w:right="702"/>
              <w:jc w:val="right"/>
              <w:rPr>
                <w:sz w:val="20"/>
                <w:szCs w:val="20"/>
              </w:rPr>
            </w:pPr>
            <w:r w:rsidRPr="00A2217B">
              <w:rPr>
                <w:sz w:val="20"/>
                <w:szCs w:val="20"/>
              </w:rPr>
              <w:t>7</w:t>
            </w:r>
          </w:p>
        </w:tc>
        <w:tc>
          <w:tcPr>
            <w:tcW w:w="2123" w:type="dxa"/>
            <w:gridSpan w:val="2"/>
            <w:tcBorders>
              <w:top w:val="nil"/>
              <w:left w:val="single" w:sz="4" w:space="0" w:color="auto"/>
              <w:bottom w:val="nil"/>
              <w:right w:val="single" w:sz="4" w:space="0" w:color="auto"/>
            </w:tcBorders>
            <w:shd w:val="clear" w:color="auto" w:fill="auto"/>
            <w:noWrap/>
            <w:vAlign w:val="center"/>
          </w:tcPr>
          <w:p w14:paraId="251EA9F1" w14:textId="77777777" w:rsidR="004E3F6E" w:rsidRPr="00A2217B" w:rsidRDefault="004E3F6E" w:rsidP="004873C0">
            <w:pPr>
              <w:ind w:right="755" w:firstLineChars="100" w:firstLine="200"/>
              <w:jc w:val="right"/>
              <w:rPr>
                <w:sz w:val="20"/>
                <w:szCs w:val="20"/>
              </w:rPr>
            </w:pPr>
            <w:r>
              <w:rPr>
                <w:sz w:val="20"/>
                <w:szCs w:val="20"/>
              </w:rPr>
              <w:t>50.4</w:t>
            </w:r>
          </w:p>
        </w:tc>
        <w:tc>
          <w:tcPr>
            <w:tcW w:w="2017" w:type="dxa"/>
            <w:gridSpan w:val="2"/>
            <w:tcBorders>
              <w:top w:val="nil"/>
              <w:left w:val="nil"/>
              <w:bottom w:val="nil"/>
              <w:right w:val="nil"/>
            </w:tcBorders>
            <w:shd w:val="clear" w:color="auto" w:fill="auto"/>
            <w:noWrap/>
            <w:vAlign w:val="center"/>
          </w:tcPr>
          <w:p w14:paraId="246A3C06" w14:textId="77777777" w:rsidR="004E3F6E" w:rsidRPr="00A2217B" w:rsidRDefault="004E3F6E" w:rsidP="004873C0">
            <w:pPr>
              <w:ind w:right="702" w:firstLineChars="100" w:firstLine="200"/>
              <w:jc w:val="right"/>
              <w:rPr>
                <w:sz w:val="20"/>
                <w:szCs w:val="20"/>
              </w:rPr>
            </w:pPr>
            <w:r>
              <w:rPr>
                <w:sz w:val="20"/>
                <w:szCs w:val="20"/>
              </w:rPr>
              <w:t>73.3</w:t>
            </w:r>
          </w:p>
        </w:tc>
        <w:tc>
          <w:tcPr>
            <w:tcW w:w="2144" w:type="dxa"/>
            <w:gridSpan w:val="2"/>
            <w:tcBorders>
              <w:top w:val="nil"/>
              <w:left w:val="single" w:sz="4" w:space="0" w:color="auto"/>
              <w:bottom w:val="nil"/>
              <w:right w:val="single" w:sz="4" w:space="0" w:color="auto"/>
            </w:tcBorders>
            <w:shd w:val="clear" w:color="auto" w:fill="auto"/>
            <w:noWrap/>
            <w:vAlign w:val="center"/>
          </w:tcPr>
          <w:p w14:paraId="1A8D71DF" w14:textId="77777777" w:rsidR="004E3F6E" w:rsidRPr="00A2217B" w:rsidRDefault="004E3F6E" w:rsidP="004873C0">
            <w:pPr>
              <w:ind w:right="776"/>
              <w:jc w:val="right"/>
              <w:rPr>
                <w:sz w:val="20"/>
                <w:szCs w:val="20"/>
              </w:rPr>
            </w:pPr>
            <w:r>
              <w:rPr>
                <w:sz w:val="20"/>
                <w:szCs w:val="20"/>
              </w:rPr>
              <w:t>80.4</w:t>
            </w:r>
          </w:p>
        </w:tc>
      </w:tr>
      <w:tr w:rsidR="004E3F6E" w:rsidRPr="00A2217B" w14:paraId="34B8CED4" w14:textId="77777777" w:rsidTr="004E3F6E">
        <w:trPr>
          <w:trHeight w:val="300"/>
          <w:jc w:val="center"/>
        </w:trPr>
        <w:tc>
          <w:tcPr>
            <w:tcW w:w="1964" w:type="dxa"/>
            <w:tcBorders>
              <w:top w:val="nil"/>
              <w:left w:val="single" w:sz="4" w:space="0" w:color="auto"/>
              <w:bottom w:val="nil"/>
              <w:right w:val="nil"/>
            </w:tcBorders>
            <w:shd w:val="clear" w:color="auto" w:fill="auto"/>
            <w:noWrap/>
            <w:vAlign w:val="center"/>
            <w:hideMark/>
          </w:tcPr>
          <w:p w14:paraId="6A13D1F5" w14:textId="77777777" w:rsidR="004E3F6E" w:rsidRPr="00A2217B" w:rsidRDefault="004E3F6E" w:rsidP="004873C0">
            <w:pPr>
              <w:ind w:right="702"/>
              <w:jc w:val="right"/>
              <w:rPr>
                <w:sz w:val="20"/>
                <w:szCs w:val="20"/>
              </w:rPr>
            </w:pPr>
            <w:r w:rsidRPr="00A2217B">
              <w:rPr>
                <w:sz w:val="20"/>
                <w:szCs w:val="20"/>
              </w:rPr>
              <w:t>8</w:t>
            </w:r>
          </w:p>
        </w:tc>
        <w:tc>
          <w:tcPr>
            <w:tcW w:w="2123" w:type="dxa"/>
            <w:gridSpan w:val="2"/>
            <w:tcBorders>
              <w:top w:val="nil"/>
              <w:left w:val="single" w:sz="4" w:space="0" w:color="auto"/>
              <w:bottom w:val="nil"/>
              <w:right w:val="single" w:sz="4" w:space="0" w:color="auto"/>
            </w:tcBorders>
            <w:shd w:val="clear" w:color="auto" w:fill="auto"/>
            <w:noWrap/>
            <w:vAlign w:val="center"/>
          </w:tcPr>
          <w:p w14:paraId="156A88EF" w14:textId="77777777" w:rsidR="004E3F6E" w:rsidRPr="00A2217B" w:rsidRDefault="004E3F6E" w:rsidP="004873C0">
            <w:pPr>
              <w:ind w:right="755" w:firstLineChars="100" w:firstLine="200"/>
              <w:jc w:val="right"/>
              <w:rPr>
                <w:sz w:val="20"/>
                <w:szCs w:val="20"/>
              </w:rPr>
            </w:pPr>
            <w:r>
              <w:rPr>
                <w:sz w:val="20"/>
                <w:szCs w:val="20"/>
              </w:rPr>
              <w:t>78.4</w:t>
            </w:r>
          </w:p>
        </w:tc>
        <w:tc>
          <w:tcPr>
            <w:tcW w:w="2017" w:type="dxa"/>
            <w:gridSpan w:val="2"/>
            <w:tcBorders>
              <w:top w:val="nil"/>
              <w:left w:val="nil"/>
              <w:bottom w:val="nil"/>
              <w:right w:val="nil"/>
            </w:tcBorders>
            <w:shd w:val="clear" w:color="auto" w:fill="auto"/>
            <w:noWrap/>
            <w:vAlign w:val="center"/>
          </w:tcPr>
          <w:p w14:paraId="33140600" w14:textId="77777777" w:rsidR="004E3F6E" w:rsidRPr="00A2217B" w:rsidRDefault="004E3F6E" w:rsidP="004873C0">
            <w:pPr>
              <w:ind w:right="702" w:firstLineChars="100" w:firstLine="200"/>
              <w:jc w:val="right"/>
              <w:rPr>
                <w:sz w:val="20"/>
                <w:szCs w:val="20"/>
              </w:rPr>
            </w:pPr>
            <w:r>
              <w:rPr>
                <w:sz w:val="20"/>
                <w:szCs w:val="20"/>
              </w:rPr>
              <w:t>73.7</w:t>
            </w:r>
          </w:p>
        </w:tc>
        <w:tc>
          <w:tcPr>
            <w:tcW w:w="2144" w:type="dxa"/>
            <w:gridSpan w:val="2"/>
            <w:tcBorders>
              <w:top w:val="nil"/>
              <w:left w:val="single" w:sz="4" w:space="0" w:color="auto"/>
              <w:bottom w:val="nil"/>
              <w:right w:val="single" w:sz="4" w:space="0" w:color="auto"/>
            </w:tcBorders>
            <w:shd w:val="clear" w:color="auto" w:fill="auto"/>
            <w:noWrap/>
            <w:vAlign w:val="center"/>
          </w:tcPr>
          <w:p w14:paraId="22370B4A" w14:textId="77777777" w:rsidR="004E3F6E" w:rsidRPr="00A2217B" w:rsidRDefault="004E3F6E" w:rsidP="004873C0">
            <w:pPr>
              <w:ind w:right="776"/>
              <w:jc w:val="right"/>
              <w:rPr>
                <w:sz w:val="20"/>
                <w:szCs w:val="20"/>
              </w:rPr>
            </w:pPr>
            <w:r>
              <w:rPr>
                <w:sz w:val="20"/>
                <w:szCs w:val="20"/>
              </w:rPr>
              <w:t>77.0</w:t>
            </w:r>
          </w:p>
        </w:tc>
      </w:tr>
      <w:tr w:rsidR="004E3F6E" w:rsidRPr="00A2217B" w14:paraId="3DFF0359" w14:textId="77777777" w:rsidTr="004E3F6E">
        <w:trPr>
          <w:trHeight w:val="60"/>
          <w:jc w:val="center"/>
        </w:trPr>
        <w:tc>
          <w:tcPr>
            <w:tcW w:w="1964" w:type="dxa"/>
            <w:tcBorders>
              <w:top w:val="nil"/>
              <w:left w:val="single" w:sz="4" w:space="0" w:color="auto"/>
              <w:bottom w:val="nil"/>
              <w:right w:val="nil"/>
            </w:tcBorders>
            <w:shd w:val="clear" w:color="auto" w:fill="auto"/>
            <w:noWrap/>
            <w:vAlign w:val="center"/>
            <w:hideMark/>
          </w:tcPr>
          <w:p w14:paraId="30E376A7" w14:textId="77777777" w:rsidR="004E3F6E" w:rsidRPr="00A2217B" w:rsidRDefault="004E3F6E" w:rsidP="004873C0">
            <w:pPr>
              <w:ind w:right="702"/>
              <w:jc w:val="right"/>
              <w:rPr>
                <w:sz w:val="20"/>
                <w:szCs w:val="20"/>
              </w:rPr>
            </w:pPr>
            <w:r w:rsidRPr="00A2217B">
              <w:rPr>
                <w:sz w:val="20"/>
                <w:szCs w:val="20"/>
              </w:rPr>
              <w:t>9</w:t>
            </w:r>
          </w:p>
        </w:tc>
        <w:tc>
          <w:tcPr>
            <w:tcW w:w="2123" w:type="dxa"/>
            <w:gridSpan w:val="2"/>
            <w:tcBorders>
              <w:top w:val="nil"/>
              <w:left w:val="single" w:sz="4" w:space="0" w:color="auto"/>
              <w:bottom w:val="nil"/>
              <w:right w:val="single" w:sz="4" w:space="0" w:color="auto"/>
            </w:tcBorders>
            <w:shd w:val="clear" w:color="auto" w:fill="auto"/>
            <w:noWrap/>
            <w:vAlign w:val="center"/>
          </w:tcPr>
          <w:p w14:paraId="214BC421" w14:textId="77777777" w:rsidR="004E3F6E" w:rsidRPr="00A2217B" w:rsidRDefault="004E3F6E" w:rsidP="004873C0">
            <w:pPr>
              <w:ind w:right="755" w:firstLineChars="100" w:firstLine="200"/>
              <w:jc w:val="right"/>
              <w:rPr>
                <w:sz w:val="20"/>
                <w:szCs w:val="20"/>
              </w:rPr>
            </w:pPr>
            <w:r>
              <w:rPr>
                <w:sz w:val="20"/>
                <w:szCs w:val="20"/>
              </w:rPr>
              <w:t>78.9</w:t>
            </w:r>
          </w:p>
        </w:tc>
        <w:tc>
          <w:tcPr>
            <w:tcW w:w="2017" w:type="dxa"/>
            <w:gridSpan w:val="2"/>
            <w:tcBorders>
              <w:top w:val="nil"/>
              <w:left w:val="nil"/>
              <w:bottom w:val="nil"/>
              <w:right w:val="nil"/>
            </w:tcBorders>
            <w:shd w:val="clear" w:color="auto" w:fill="auto"/>
            <w:noWrap/>
            <w:vAlign w:val="center"/>
          </w:tcPr>
          <w:p w14:paraId="72AFE932" w14:textId="77777777" w:rsidR="004E3F6E" w:rsidRPr="00A2217B" w:rsidRDefault="004E3F6E" w:rsidP="004873C0">
            <w:pPr>
              <w:ind w:right="702" w:firstLineChars="100" w:firstLine="200"/>
              <w:jc w:val="right"/>
              <w:rPr>
                <w:sz w:val="20"/>
                <w:szCs w:val="20"/>
              </w:rPr>
            </w:pPr>
            <w:r>
              <w:rPr>
                <w:sz w:val="20"/>
                <w:szCs w:val="20"/>
              </w:rPr>
              <w:t>74.5</w:t>
            </w:r>
          </w:p>
        </w:tc>
        <w:tc>
          <w:tcPr>
            <w:tcW w:w="2144" w:type="dxa"/>
            <w:gridSpan w:val="2"/>
            <w:tcBorders>
              <w:top w:val="nil"/>
              <w:left w:val="single" w:sz="4" w:space="0" w:color="auto"/>
              <w:bottom w:val="nil"/>
              <w:right w:val="single" w:sz="4" w:space="0" w:color="auto"/>
            </w:tcBorders>
            <w:shd w:val="clear" w:color="auto" w:fill="auto"/>
            <w:noWrap/>
            <w:vAlign w:val="center"/>
          </w:tcPr>
          <w:p w14:paraId="619220BE" w14:textId="77777777" w:rsidR="004E3F6E" w:rsidRPr="00A2217B" w:rsidRDefault="004E3F6E" w:rsidP="004873C0">
            <w:pPr>
              <w:ind w:right="776"/>
              <w:jc w:val="right"/>
              <w:rPr>
                <w:sz w:val="20"/>
                <w:szCs w:val="20"/>
              </w:rPr>
            </w:pPr>
            <w:r>
              <w:rPr>
                <w:sz w:val="20"/>
                <w:szCs w:val="20"/>
              </w:rPr>
              <w:t>71.9</w:t>
            </w:r>
          </w:p>
        </w:tc>
      </w:tr>
      <w:tr w:rsidR="004E3F6E" w:rsidRPr="00A2217B" w14:paraId="521B00E9" w14:textId="77777777" w:rsidTr="004E3F6E">
        <w:trPr>
          <w:trHeight w:val="60"/>
          <w:jc w:val="center"/>
        </w:trPr>
        <w:tc>
          <w:tcPr>
            <w:tcW w:w="1964" w:type="dxa"/>
            <w:tcBorders>
              <w:top w:val="nil"/>
              <w:left w:val="single" w:sz="4" w:space="0" w:color="auto"/>
              <w:bottom w:val="single" w:sz="4" w:space="0" w:color="auto"/>
              <w:right w:val="nil"/>
            </w:tcBorders>
            <w:shd w:val="clear" w:color="auto" w:fill="auto"/>
            <w:noWrap/>
            <w:vAlign w:val="center"/>
            <w:hideMark/>
          </w:tcPr>
          <w:p w14:paraId="7B303D81" w14:textId="77777777" w:rsidR="004E3F6E" w:rsidRPr="00A2217B" w:rsidRDefault="004E3F6E" w:rsidP="004873C0">
            <w:pPr>
              <w:ind w:right="702"/>
              <w:jc w:val="right"/>
              <w:rPr>
                <w:sz w:val="20"/>
                <w:szCs w:val="20"/>
              </w:rPr>
            </w:pPr>
            <w:r w:rsidRPr="00A2217B">
              <w:rPr>
                <w:sz w:val="20"/>
                <w:szCs w:val="20"/>
              </w:rPr>
              <w:t>10</w:t>
            </w:r>
          </w:p>
        </w:tc>
        <w:tc>
          <w:tcPr>
            <w:tcW w:w="2123" w:type="dxa"/>
            <w:gridSpan w:val="2"/>
            <w:tcBorders>
              <w:top w:val="nil"/>
              <w:left w:val="single" w:sz="4" w:space="0" w:color="auto"/>
              <w:bottom w:val="single" w:sz="4" w:space="0" w:color="auto"/>
              <w:right w:val="single" w:sz="4" w:space="0" w:color="auto"/>
            </w:tcBorders>
            <w:shd w:val="clear" w:color="auto" w:fill="auto"/>
            <w:noWrap/>
            <w:vAlign w:val="center"/>
          </w:tcPr>
          <w:p w14:paraId="04B46558" w14:textId="77777777" w:rsidR="004E3F6E" w:rsidRPr="00A2217B" w:rsidRDefault="004E3F6E" w:rsidP="004873C0">
            <w:pPr>
              <w:ind w:right="755" w:firstLineChars="100" w:firstLine="200"/>
              <w:jc w:val="right"/>
              <w:rPr>
                <w:sz w:val="20"/>
                <w:szCs w:val="20"/>
              </w:rPr>
            </w:pPr>
            <w:r>
              <w:rPr>
                <w:sz w:val="20"/>
                <w:szCs w:val="20"/>
              </w:rPr>
              <w:t>95.6</w:t>
            </w:r>
          </w:p>
        </w:tc>
        <w:tc>
          <w:tcPr>
            <w:tcW w:w="2017" w:type="dxa"/>
            <w:gridSpan w:val="2"/>
            <w:tcBorders>
              <w:top w:val="nil"/>
              <w:left w:val="nil"/>
              <w:bottom w:val="single" w:sz="4" w:space="0" w:color="auto"/>
              <w:right w:val="nil"/>
            </w:tcBorders>
            <w:shd w:val="clear" w:color="auto" w:fill="auto"/>
            <w:noWrap/>
            <w:vAlign w:val="center"/>
          </w:tcPr>
          <w:p w14:paraId="17A08E9A" w14:textId="77777777" w:rsidR="004E3F6E" w:rsidRPr="00A2217B" w:rsidRDefault="004E3F6E" w:rsidP="004873C0">
            <w:pPr>
              <w:ind w:right="702" w:firstLineChars="100" w:firstLine="200"/>
              <w:jc w:val="right"/>
              <w:rPr>
                <w:sz w:val="20"/>
                <w:szCs w:val="20"/>
              </w:rPr>
            </w:pPr>
            <w:r>
              <w:rPr>
                <w:sz w:val="20"/>
                <w:szCs w:val="20"/>
              </w:rPr>
              <w:t>81.5</w:t>
            </w:r>
          </w:p>
        </w:tc>
        <w:tc>
          <w:tcPr>
            <w:tcW w:w="2144" w:type="dxa"/>
            <w:gridSpan w:val="2"/>
            <w:tcBorders>
              <w:top w:val="nil"/>
              <w:left w:val="single" w:sz="4" w:space="0" w:color="auto"/>
              <w:bottom w:val="single" w:sz="4" w:space="0" w:color="auto"/>
              <w:right w:val="single" w:sz="4" w:space="0" w:color="auto"/>
            </w:tcBorders>
            <w:shd w:val="clear" w:color="auto" w:fill="auto"/>
            <w:noWrap/>
            <w:vAlign w:val="center"/>
          </w:tcPr>
          <w:p w14:paraId="058B752D" w14:textId="77777777" w:rsidR="004E3F6E" w:rsidRPr="00A2217B" w:rsidRDefault="004E3F6E" w:rsidP="004873C0">
            <w:pPr>
              <w:ind w:right="776"/>
              <w:jc w:val="right"/>
              <w:rPr>
                <w:sz w:val="20"/>
                <w:szCs w:val="20"/>
              </w:rPr>
            </w:pPr>
            <w:r>
              <w:rPr>
                <w:sz w:val="20"/>
                <w:szCs w:val="20"/>
              </w:rPr>
              <w:t>91.1</w:t>
            </w:r>
          </w:p>
        </w:tc>
      </w:tr>
      <w:tr w:rsidR="004E3F6E" w:rsidRPr="00A2217B" w14:paraId="626E2297" w14:textId="77777777" w:rsidTr="004E3F6E">
        <w:trPr>
          <w:trHeight w:val="50"/>
          <w:jc w:val="center"/>
        </w:trPr>
        <w:tc>
          <w:tcPr>
            <w:tcW w:w="1964" w:type="dxa"/>
            <w:tcBorders>
              <w:top w:val="nil"/>
              <w:left w:val="single" w:sz="4" w:space="0" w:color="auto"/>
              <w:bottom w:val="single" w:sz="4" w:space="0" w:color="auto"/>
              <w:right w:val="nil"/>
            </w:tcBorders>
            <w:shd w:val="clear" w:color="auto" w:fill="auto"/>
            <w:noWrap/>
            <w:vAlign w:val="center"/>
            <w:hideMark/>
          </w:tcPr>
          <w:p w14:paraId="70FEC202" w14:textId="77777777" w:rsidR="004E3F6E" w:rsidRPr="00A2217B" w:rsidRDefault="004E3F6E" w:rsidP="004873C0">
            <w:pPr>
              <w:jc w:val="center"/>
              <w:rPr>
                <w:b/>
                <w:bCs/>
                <w:i/>
                <w:iCs/>
                <w:sz w:val="20"/>
                <w:szCs w:val="20"/>
              </w:rPr>
            </w:pPr>
            <w:r w:rsidRPr="00A2217B">
              <w:rPr>
                <w:b/>
                <w:bCs/>
                <w:i/>
                <w:iCs/>
                <w:sz w:val="20"/>
                <w:szCs w:val="20"/>
              </w:rPr>
              <w:t>Statewide</w:t>
            </w:r>
          </w:p>
        </w:tc>
        <w:tc>
          <w:tcPr>
            <w:tcW w:w="2123" w:type="dxa"/>
            <w:gridSpan w:val="2"/>
            <w:tcBorders>
              <w:top w:val="nil"/>
              <w:left w:val="single" w:sz="4" w:space="0" w:color="auto"/>
              <w:bottom w:val="single" w:sz="4" w:space="0" w:color="auto"/>
              <w:right w:val="single" w:sz="4" w:space="0" w:color="auto"/>
            </w:tcBorders>
            <w:shd w:val="clear" w:color="auto" w:fill="auto"/>
            <w:noWrap/>
            <w:vAlign w:val="center"/>
          </w:tcPr>
          <w:p w14:paraId="7865BEFC" w14:textId="77777777" w:rsidR="004E3F6E" w:rsidRPr="00A2217B" w:rsidRDefault="004E3F6E" w:rsidP="004873C0">
            <w:pPr>
              <w:ind w:right="755"/>
              <w:jc w:val="right"/>
              <w:rPr>
                <w:b/>
                <w:bCs/>
                <w:i/>
                <w:iCs/>
                <w:sz w:val="20"/>
                <w:szCs w:val="20"/>
              </w:rPr>
            </w:pPr>
            <w:r>
              <w:rPr>
                <w:b/>
                <w:bCs/>
                <w:i/>
                <w:iCs/>
                <w:sz w:val="20"/>
                <w:szCs w:val="20"/>
              </w:rPr>
              <w:t>75.8</w:t>
            </w:r>
          </w:p>
        </w:tc>
        <w:tc>
          <w:tcPr>
            <w:tcW w:w="2017" w:type="dxa"/>
            <w:gridSpan w:val="2"/>
            <w:tcBorders>
              <w:top w:val="nil"/>
              <w:left w:val="nil"/>
              <w:bottom w:val="single" w:sz="4" w:space="0" w:color="auto"/>
              <w:right w:val="nil"/>
            </w:tcBorders>
            <w:shd w:val="clear" w:color="auto" w:fill="auto"/>
            <w:noWrap/>
            <w:vAlign w:val="center"/>
          </w:tcPr>
          <w:p w14:paraId="725CB7EA" w14:textId="77777777" w:rsidR="004E3F6E" w:rsidRPr="00A2217B" w:rsidRDefault="004E3F6E" w:rsidP="004873C0">
            <w:pPr>
              <w:ind w:right="702"/>
              <w:jc w:val="right"/>
              <w:rPr>
                <w:b/>
                <w:bCs/>
                <w:i/>
                <w:iCs/>
                <w:sz w:val="20"/>
                <w:szCs w:val="20"/>
              </w:rPr>
            </w:pPr>
            <w:r>
              <w:rPr>
                <w:b/>
                <w:bCs/>
                <w:i/>
                <w:iCs/>
                <w:sz w:val="20"/>
                <w:szCs w:val="20"/>
              </w:rPr>
              <w:t>75.4</w:t>
            </w:r>
          </w:p>
        </w:tc>
        <w:tc>
          <w:tcPr>
            <w:tcW w:w="2144" w:type="dxa"/>
            <w:gridSpan w:val="2"/>
            <w:tcBorders>
              <w:top w:val="nil"/>
              <w:left w:val="single" w:sz="4" w:space="0" w:color="auto"/>
              <w:bottom w:val="single" w:sz="4" w:space="0" w:color="auto"/>
              <w:right w:val="single" w:sz="4" w:space="0" w:color="auto"/>
            </w:tcBorders>
            <w:shd w:val="clear" w:color="auto" w:fill="auto"/>
            <w:noWrap/>
            <w:vAlign w:val="center"/>
          </w:tcPr>
          <w:p w14:paraId="6A087B46" w14:textId="77777777" w:rsidR="004E3F6E" w:rsidRPr="00A2217B" w:rsidRDefault="004E3F6E" w:rsidP="004873C0">
            <w:pPr>
              <w:ind w:right="776"/>
              <w:jc w:val="right"/>
              <w:rPr>
                <w:b/>
                <w:bCs/>
                <w:i/>
                <w:iCs/>
                <w:sz w:val="20"/>
                <w:szCs w:val="20"/>
              </w:rPr>
            </w:pPr>
            <w:r>
              <w:rPr>
                <w:b/>
                <w:bCs/>
                <w:i/>
                <w:iCs/>
                <w:sz w:val="20"/>
                <w:szCs w:val="20"/>
              </w:rPr>
              <w:t>82.3</w:t>
            </w:r>
          </w:p>
        </w:tc>
      </w:tr>
    </w:tbl>
    <w:p w14:paraId="3631E5DB" w14:textId="77777777" w:rsidR="004E3F6E" w:rsidRDefault="004E3F6E" w:rsidP="004E3F6E"/>
    <w:p w14:paraId="334BC4B9" w14:textId="77777777" w:rsidR="007E576E" w:rsidRDefault="007E576E" w:rsidP="004E3F6E">
      <w:r>
        <w:t xml:space="preserve">However, DCFS data shows that required </w:t>
      </w:r>
      <w:r w:rsidRPr="007E576E">
        <w:rPr>
          <w:u w:val="single"/>
        </w:rPr>
        <w:t xml:space="preserve">monthly </w:t>
      </w:r>
      <w:r>
        <w:t>visits to in-home cases occurred in 66 percent of the cases.</w:t>
      </w:r>
    </w:p>
    <w:p w14:paraId="3E7A5D3F" w14:textId="77777777" w:rsidR="00676C8F" w:rsidRDefault="00676C8F" w:rsidP="00CB4A1B">
      <w:pPr>
        <w:pStyle w:val="NoSpacing"/>
        <w:rPr>
          <w:b/>
          <w:i/>
          <w:sz w:val="24"/>
          <w:szCs w:val="24"/>
        </w:rPr>
      </w:pPr>
    </w:p>
    <w:p w14:paraId="77581D93" w14:textId="77777777" w:rsidR="00676C8F" w:rsidRDefault="00676C8F" w:rsidP="00CB4A1B">
      <w:pPr>
        <w:pStyle w:val="NoSpacing"/>
        <w:rPr>
          <w:b/>
          <w:i/>
          <w:sz w:val="24"/>
          <w:szCs w:val="24"/>
        </w:rPr>
      </w:pPr>
    </w:p>
    <w:p w14:paraId="0A739747" w14:textId="77777777" w:rsidR="00676C8F" w:rsidRDefault="00676C8F" w:rsidP="00CB4A1B">
      <w:pPr>
        <w:pStyle w:val="NoSpacing"/>
        <w:rPr>
          <w:b/>
          <w:i/>
          <w:sz w:val="24"/>
          <w:szCs w:val="24"/>
        </w:rPr>
      </w:pPr>
    </w:p>
    <w:p w14:paraId="28294F51" w14:textId="21B60306" w:rsidR="00CB4A1B" w:rsidRDefault="00676C8F" w:rsidP="00CB4A1B">
      <w:pPr>
        <w:pStyle w:val="NoSpacing"/>
        <w:rPr>
          <w:b/>
          <w:i/>
          <w:sz w:val="24"/>
          <w:szCs w:val="24"/>
        </w:rPr>
      </w:pPr>
      <w:r>
        <w:rPr>
          <w:b/>
          <w:i/>
          <w:sz w:val="24"/>
          <w:szCs w:val="24"/>
        </w:rPr>
        <w:t>Child Fatalities</w:t>
      </w:r>
    </w:p>
    <w:p w14:paraId="4FA46FC9" w14:textId="77777777" w:rsidR="00C53E96" w:rsidRDefault="00C53E96" w:rsidP="00CB4A1B">
      <w:pPr>
        <w:pStyle w:val="NoSpacing"/>
        <w:rPr>
          <w:b/>
          <w:i/>
          <w:sz w:val="24"/>
          <w:szCs w:val="24"/>
        </w:rPr>
      </w:pPr>
    </w:p>
    <w:p w14:paraId="7261427D" w14:textId="1E4AB995" w:rsidR="00C53E96" w:rsidRDefault="00D91B4B" w:rsidP="00CB4A1B">
      <w:pPr>
        <w:pStyle w:val="NoSpacing"/>
        <w:rPr>
          <w:sz w:val="24"/>
          <w:szCs w:val="24"/>
        </w:rPr>
      </w:pPr>
      <w:r>
        <w:rPr>
          <w:sz w:val="24"/>
          <w:szCs w:val="24"/>
        </w:rPr>
        <w:t xml:space="preserve">According to the Children’s Bureau publication </w:t>
      </w:r>
      <w:r w:rsidRPr="002570E6">
        <w:rPr>
          <w:i/>
          <w:sz w:val="24"/>
          <w:szCs w:val="24"/>
        </w:rPr>
        <w:t>Child Maltreatment 2013</w:t>
      </w:r>
      <w:r w:rsidR="002570E6">
        <w:rPr>
          <w:sz w:val="24"/>
          <w:szCs w:val="24"/>
        </w:rPr>
        <w:t>, t</w:t>
      </w:r>
      <w:r>
        <w:rPr>
          <w:sz w:val="24"/>
          <w:szCs w:val="24"/>
        </w:rPr>
        <w:t xml:space="preserve">here are only two other states, Oklahoma and West Virginia, that have a higher rate of child fatalities per 100,000 children than Arkansas.  The rate in Arkansas is 4.09.  </w:t>
      </w:r>
    </w:p>
    <w:p w14:paraId="4CBD86D3" w14:textId="77777777" w:rsidR="00D91B4B" w:rsidRDefault="00D91B4B" w:rsidP="00CB4A1B">
      <w:pPr>
        <w:pStyle w:val="NoSpacing"/>
        <w:rPr>
          <w:sz w:val="24"/>
          <w:szCs w:val="24"/>
        </w:rPr>
      </w:pPr>
    </w:p>
    <w:p w14:paraId="3D6E6371" w14:textId="5E8BA8F3" w:rsidR="00D91B4B" w:rsidRPr="00C53E96" w:rsidRDefault="00D91B4B" w:rsidP="00CB4A1B">
      <w:pPr>
        <w:pStyle w:val="NoSpacing"/>
        <w:rPr>
          <w:sz w:val="24"/>
          <w:szCs w:val="24"/>
        </w:rPr>
      </w:pPr>
      <w:r>
        <w:rPr>
          <w:sz w:val="24"/>
          <w:szCs w:val="24"/>
        </w:rPr>
        <w:t>Using a different metric, DCFS reports on child fatalities with prior DCFS involvement within 12 months prior to the fatality.  The trend from 2011 to 2015 as shown below, reflects an increase</w:t>
      </w:r>
      <w:r w:rsidR="004706E1">
        <w:rPr>
          <w:sz w:val="24"/>
          <w:szCs w:val="24"/>
        </w:rPr>
        <w:t xml:space="preserve"> in these fatali</w:t>
      </w:r>
      <w:r>
        <w:rPr>
          <w:sz w:val="24"/>
          <w:szCs w:val="24"/>
        </w:rPr>
        <w:t>ties.</w:t>
      </w:r>
    </w:p>
    <w:p w14:paraId="03C7C3FA" w14:textId="77777777" w:rsidR="00676C8F" w:rsidRDefault="00676C8F" w:rsidP="00CB4A1B">
      <w:pPr>
        <w:pStyle w:val="NoSpacing"/>
        <w:rPr>
          <w:b/>
          <w:i/>
          <w:sz w:val="24"/>
          <w:szCs w:val="24"/>
        </w:rPr>
      </w:pPr>
    </w:p>
    <w:tbl>
      <w:tblPr>
        <w:tblW w:w="4794" w:type="dxa"/>
        <w:tblInd w:w="-23" w:type="dxa"/>
        <w:tblCellMar>
          <w:left w:w="0" w:type="dxa"/>
          <w:right w:w="0" w:type="dxa"/>
        </w:tblCellMar>
        <w:tblLook w:val="04A0" w:firstRow="1" w:lastRow="0" w:firstColumn="1" w:lastColumn="0" w:noHBand="0" w:noVBand="1"/>
      </w:tblPr>
      <w:tblGrid>
        <w:gridCol w:w="2397"/>
        <w:gridCol w:w="2397"/>
      </w:tblGrid>
      <w:tr w:rsidR="00676C8F" w14:paraId="389DDD66" w14:textId="77777777" w:rsidTr="00676C8F">
        <w:trPr>
          <w:trHeight w:val="300"/>
        </w:trPr>
        <w:tc>
          <w:tcPr>
            <w:tcW w:w="4794" w:type="dxa"/>
            <w:gridSpan w:val="2"/>
            <w:tcBorders>
              <w:top w:val="single" w:sz="8" w:space="0" w:color="auto"/>
              <w:left w:val="single" w:sz="8" w:space="0" w:color="auto"/>
              <w:bottom w:val="single" w:sz="8" w:space="0" w:color="FFFFFF"/>
              <w:right w:val="single" w:sz="8" w:space="0" w:color="000000"/>
            </w:tcBorders>
            <w:shd w:val="clear" w:color="auto" w:fill="000000"/>
            <w:noWrap/>
            <w:tcMar>
              <w:top w:w="0" w:type="dxa"/>
              <w:left w:w="108" w:type="dxa"/>
              <w:bottom w:w="0" w:type="dxa"/>
              <w:right w:w="108" w:type="dxa"/>
            </w:tcMar>
            <w:vAlign w:val="center"/>
            <w:hideMark/>
          </w:tcPr>
          <w:p w14:paraId="6CCABC12" w14:textId="1BE86BC0" w:rsidR="00676C8F" w:rsidRDefault="00676C8F">
            <w:pPr>
              <w:jc w:val="center"/>
            </w:pPr>
            <w:r>
              <w:rPr>
                <w:b/>
                <w:bCs/>
                <w:color w:val="FFFFFF"/>
              </w:rPr>
              <w:t>Fatalities w/ Prior DCFS Involvement within 12 Months  Prior to Fatality</w:t>
            </w:r>
          </w:p>
        </w:tc>
      </w:tr>
      <w:tr w:rsidR="00676C8F" w14:paraId="5FC70EDC" w14:textId="77777777" w:rsidTr="00676C8F">
        <w:trPr>
          <w:trHeight w:val="315"/>
        </w:trPr>
        <w:tc>
          <w:tcPr>
            <w:tcW w:w="2397" w:type="dxa"/>
            <w:tcBorders>
              <w:top w:val="nil"/>
              <w:left w:val="single" w:sz="8" w:space="0" w:color="auto"/>
              <w:bottom w:val="single" w:sz="8" w:space="0" w:color="auto"/>
              <w:right w:val="single" w:sz="8" w:space="0" w:color="FFFFFF"/>
            </w:tcBorders>
            <w:shd w:val="clear" w:color="auto" w:fill="000000"/>
            <w:noWrap/>
            <w:tcMar>
              <w:top w:w="0" w:type="dxa"/>
              <w:left w:w="108" w:type="dxa"/>
              <w:bottom w:w="0" w:type="dxa"/>
              <w:right w:w="108" w:type="dxa"/>
            </w:tcMar>
            <w:vAlign w:val="bottom"/>
            <w:hideMark/>
          </w:tcPr>
          <w:p w14:paraId="1B436A66" w14:textId="77777777" w:rsidR="00676C8F" w:rsidRDefault="00676C8F">
            <w:pPr>
              <w:jc w:val="center"/>
            </w:pPr>
            <w:r>
              <w:rPr>
                <w:b/>
                <w:bCs/>
                <w:color w:val="FFFFFF"/>
              </w:rPr>
              <w:t>SFY</w:t>
            </w:r>
          </w:p>
        </w:tc>
        <w:tc>
          <w:tcPr>
            <w:tcW w:w="2397"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04558474" w14:textId="77777777" w:rsidR="00676C8F" w:rsidRDefault="00676C8F">
            <w:pPr>
              <w:jc w:val="center"/>
            </w:pPr>
            <w:r>
              <w:rPr>
                <w:b/>
                <w:bCs/>
                <w:color w:val="FFFFFF"/>
              </w:rPr>
              <w:t># Fatalities</w:t>
            </w:r>
          </w:p>
        </w:tc>
      </w:tr>
      <w:tr w:rsidR="00676C8F" w14:paraId="70ABC9F4" w14:textId="77777777" w:rsidTr="00676C8F">
        <w:trPr>
          <w:trHeight w:val="300"/>
        </w:trPr>
        <w:tc>
          <w:tcPr>
            <w:tcW w:w="2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91FB04" w14:textId="77777777" w:rsidR="00676C8F" w:rsidRDefault="00676C8F">
            <w:pPr>
              <w:jc w:val="center"/>
            </w:pPr>
            <w:r>
              <w:rPr>
                <w:color w:val="000000"/>
              </w:rPr>
              <w:t>2011</w:t>
            </w:r>
          </w:p>
        </w:tc>
        <w:tc>
          <w:tcPr>
            <w:tcW w:w="23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57B446" w14:textId="77777777" w:rsidR="00676C8F" w:rsidRDefault="00676C8F">
            <w:pPr>
              <w:jc w:val="center"/>
            </w:pPr>
            <w:r>
              <w:rPr>
                <w:color w:val="000000"/>
              </w:rPr>
              <w:t>23</w:t>
            </w:r>
          </w:p>
        </w:tc>
      </w:tr>
      <w:tr w:rsidR="00676C8F" w14:paraId="5027F36E" w14:textId="77777777" w:rsidTr="00676C8F">
        <w:trPr>
          <w:trHeight w:val="300"/>
        </w:trPr>
        <w:tc>
          <w:tcPr>
            <w:tcW w:w="2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6F7E65" w14:textId="77777777" w:rsidR="00676C8F" w:rsidRDefault="00676C8F">
            <w:pPr>
              <w:jc w:val="center"/>
            </w:pPr>
            <w:r>
              <w:rPr>
                <w:color w:val="000000"/>
              </w:rPr>
              <w:t>2012</w:t>
            </w:r>
          </w:p>
        </w:tc>
        <w:tc>
          <w:tcPr>
            <w:tcW w:w="23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5099C6" w14:textId="77777777" w:rsidR="00676C8F" w:rsidRDefault="00676C8F">
            <w:pPr>
              <w:jc w:val="center"/>
            </w:pPr>
            <w:r>
              <w:rPr>
                <w:color w:val="000000"/>
              </w:rPr>
              <w:t>35</w:t>
            </w:r>
          </w:p>
        </w:tc>
      </w:tr>
      <w:tr w:rsidR="00676C8F" w14:paraId="44BE2EFF" w14:textId="77777777" w:rsidTr="00676C8F">
        <w:trPr>
          <w:trHeight w:val="300"/>
        </w:trPr>
        <w:tc>
          <w:tcPr>
            <w:tcW w:w="2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B2AD23" w14:textId="77777777" w:rsidR="00676C8F" w:rsidRDefault="00676C8F">
            <w:pPr>
              <w:jc w:val="center"/>
            </w:pPr>
            <w:r>
              <w:rPr>
                <w:color w:val="000000"/>
              </w:rPr>
              <w:t>2013</w:t>
            </w:r>
          </w:p>
        </w:tc>
        <w:tc>
          <w:tcPr>
            <w:tcW w:w="23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A8D9F4" w14:textId="77777777" w:rsidR="00676C8F" w:rsidRDefault="00676C8F">
            <w:pPr>
              <w:jc w:val="center"/>
            </w:pPr>
            <w:r>
              <w:rPr>
                <w:color w:val="000000"/>
              </w:rPr>
              <w:t>39</w:t>
            </w:r>
          </w:p>
        </w:tc>
      </w:tr>
      <w:tr w:rsidR="00676C8F" w14:paraId="1048A466" w14:textId="77777777" w:rsidTr="00676C8F">
        <w:trPr>
          <w:trHeight w:val="300"/>
        </w:trPr>
        <w:tc>
          <w:tcPr>
            <w:tcW w:w="2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1DBFCE" w14:textId="77777777" w:rsidR="00676C8F" w:rsidRDefault="00676C8F">
            <w:pPr>
              <w:jc w:val="center"/>
            </w:pPr>
            <w:r>
              <w:rPr>
                <w:color w:val="000000"/>
              </w:rPr>
              <w:t>2014</w:t>
            </w:r>
          </w:p>
        </w:tc>
        <w:tc>
          <w:tcPr>
            <w:tcW w:w="23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543381" w14:textId="77777777" w:rsidR="00676C8F" w:rsidRDefault="00676C8F">
            <w:pPr>
              <w:jc w:val="center"/>
            </w:pPr>
            <w:r>
              <w:rPr>
                <w:color w:val="000000"/>
              </w:rPr>
              <w:t>34</w:t>
            </w:r>
          </w:p>
        </w:tc>
      </w:tr>
      <w:tr w:rsidR="00676C8F" w14:paraId="2F0D0947" w14:textId="77777777" w:rsidTr="00676C8F">
        <w:trPr>
          <w:trHeight w:val="315"/>
        </w:trPr>
        <w:tc>
          <w:tcPr>
            <w:tcW w:w="2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D789F0" w14:textId="77777777" w:rsidR="00676C8F" w:rsidRDefault="00676C8F">
            <w:pPr>
              <w:jc w:val="center"/>
            </w:pPr>
            <w:r>
              <w:rPr>
                <w:color w:val="000000"/>
              </w:rPr>
              <w:t>2015</w:t>
            </w:r>
          </w:p>
        </w:tc>
        <w:tc>
          <w:tcPr>
            <w:tcW w:w="23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D38E75" w14:textId="77777777" w:rsidR="00676C8F" w:rsidRDefault="00676C8F">
            <w:pPr>
              <w:jc w:val="center"/>
            </w:pPr>
            <w:r>
              <w:rPr>
                <w:color w:val="000000"/>
              </w:rPr>
              <w:t>*40*</w:t>
            </w:r>
          </w:p>
        </w:tc>
      </w:tr>
      <w:tr w:rsidR="00676C8F" w14:paraId="362DFD42" w14:textId="77777777" w:rsidTr="00676C8F">
        <w:trPr>
          <w:trHeight w:val="300"/>
        </w:trPr>
        <w:tc>
          <w:tcPr>
            <w:tcW w:w="4794" w:type="dxa"/>
            <w:gridSpan w:val="2"/>
            <w:noWrap/>
            <w:tcMar>
              <w:top w:w="0" w:type="dxa"/>
              <w:left w:w="108" w:type="dxa"/>
              <w:bottom w:w="0" w:type="dxa"/>
              <w:right w:w="108" w:type="dxa"/>
            </w:tcMar>
            <w:vAlign w:val="bottom"/>
            <w:hideMark/>
          </w:tcPr>
          <w:p w14:paraId="2229BC6A" w14:textId="77777777" w:rsidR="00676C8F" w:rsidRDefault="00676C8F">
            <w:r>
              <w:rPr>
                <w:color w:val="000000"/>
                <w:sz w:val="18"/>
                <w:szCs w:val="18"/>
              </w:rPr>
              <w:t>*The SFY15 # represents the fatalities to date, 06/17/2015</w:t>
            </w:r>
          </w:p>
        </w:tc>
      </w:tr>
    </w:tbl>
    <w:p w14:paraId="5E9EAF4E" w14:textId="16D93EB8" w:rsidR="00676C8F" w:rsidRPr="00676C8F" w:rsidRDefault="00E85270" w:rsidP="00CB4A1B">
      <w:pPr>
        <w:pStyle w:val="NoSpacing"/>
        <w:rPr>
          <w:sz w:val="24"/>
          <w:szCs w:val="24"/>
        </w:rPr>
      </w:pPr>
      <w:r>
        <w:rPr>
          <w:sz w:val="24"/>
          <w:szCs w:val="24"/>
        </w:rPr>
        <w:t>It is not clear why fatality numbers are rising.  This could be factor of improved reporting or other more complex factors.  In many systems, co-sleeping practices account for a high number of child fatalities and other factors, such as parental substance abuse, can contribute to co-sleeping deaths.  The fatality review process is the best forum for examining child fatality trends.</w:t>
      </w:r>
    </w:p>
    <w:p w14:paraId="06E9EA7D" w14:textId="77777777" w:rsidR="00D91B4B" w:rsidRDefault="00D91B4B" w:rsidP="00CB4A1B">
      <w:pPr>
        <w:pStyle w:val="NoSpacing"/>
        <w:rPr>
          <w:b/>
          <w:color w:val="C00000"/>
          <w:sz w:val="24"/>
          <w:szCs w:val="24"/>
        </w:rPr>
      </w:pPr>
    </w:p>
    <w:p w14:paraId="56D56DE3" w14:textId="4796D7FC" w:rsidR="00D91B4B" w:rsidRDefault="00D91B4B" w:rsidP="00CB4A1B">
      <w:pPr>
        <w:pStyle w:val="NoSpacing"/>
        <w:rPr>
          <w:sz w:val="24"/>
          <w:szCs w:val="24"/>
        </w:rPr>
      </w:pPr>
      <w:r w:rsidRPr="00D91B4B">
        <w:rPr>
          <w:sz w:val="24"/>
          <w:szCs w:val="24"/>
        </w:rPr>
        <w:t>The A</w:t>
      </w:r>
      <w:r w:rsidR="002570E6">
        <w:rPr>
          <w:sz w:val="24"/>
          <w:szCs w:val="24"/>
        </w:rPr>
        <w:t>dministrative Office of Courts</w:t>
      </w:r>
      <w:r>
        <w:rPr>
          <w:sz w:val="24"/>
          <w:szCs w:val="24"/>
        </w:rPr>
        <w:t xml:space="preserve"> </w:t>
      </w:r>
      <w:r w:rsidR="008526D7">
        <w:rPr>
          <w:sz w:val="24"/>
          <w:szCs w:val="24"/>
        </w:rPr>
        <w:t xml:space="preserve">states that it </w:t>
      </w:r>
      <w:r>
        <w:rPr>
          <w:sz w:val="24"/>
          <w:szCs w:val="24"/>
        </w:rPr>
        <w:t xml:space="preserve">has different numbers on child fatalities than DCFS uses and the two organizations have not reached agreement on the best measures to use in examining child fatalities.  </w:t>
      </w:r>
      <w:r w:rsidR="002570E6">
        <w:rPr>
          <w:sz w:val="24"/>
          <w:szCs w:val="24"/>
        </w:rPr>
        <w:t>T</w:t>
      </w:r>
      <w:r>
        <w:rPr>
          <w:sz w:val="24"/>
          <w:szCs w:val="24"/>
        </w:rPr>
        <w:t xml:space="preserve">he legislature recently passed a statute establishing a child fatality review process external to DCFS.  Once members are appointed, this body should be a neutral forum in which </w:t>
      </w:r>
      <w:r w:rsidR="004706E1">
        <w:rPr>
          <w:sz w:val="24"/>
          <w:szCs w:val="24"/>
        </w:rPr>
        <w:t xml:space="preserve">accurate </w:t>
      </w:r>
      <w:r>
        <w:rPr>
          <w:sz w:val="24"/>
          <w:szCs w:val="24"/>
        </w:rPr>
        <w:t xml:space="preserve">child fatality data </w:t>
      </w:r>
      <w:r w:rsidR="004706E1">
        <w:rPr>
          <w:sz w:val="24"/>
          <w:szCs w:val="24"/>
        </w:rPr>
        <w:t xml:space="preserve">can be </w:t>
      </w:r>
      <w:r w:rsidR="002570E6">
        <w:rPr>
          <w:sz w:val="24"/>
          <w:szCs w:val="24"/>
        </w:rPr>
        <w:t>analyzed</w:t>
      </w:r>
      <w:r w:rsidR="004706E1">
        <w:rPr>
          <w:sz w:val="24"/>
          <w:szCs w:val="24"/>
        </w:rPr>
        <w:t>.  It is important to note that child fatalities can be assessed through a number of analyses, depending on to what questions answer are sought.</w:t>
      </w:r>
    </w:p>
    <w:tbl>
      <w:tblPr>
        <w:tblW w:w="11547" w:type="dxa"/>
        <w:tblInd w:w="-108" w:type="dxa"/>
        <w:tblBorders>
          <w:top w:val="nil"/>
          <w:left w:val="nil"/>
          <w:bottom w:val="nil"/>
          <w:right w:val="nil"/>
        </w:tblBorders>
        <w:tblLayout w:type="fixed"/>
        <w:tblLook w:val="0000" w:firstRow="0" w:lastRow="0" w:firstColumn="0" w:lastColumn="0" w:noHBand="0" w:noVBand="0"/>
      </w:tblPr>
      <w:tblGrid>
        <w:gridCol w:w="1283"/>
        <w:gridCol w:w="1283"/>
        <w:gridCol w:w="1283"/>
        <w:gridCol w:w="1283"/>
        <w:gridCol w:w="1283"/>
        <w:gridCol w:w="1283"/>
        <w:gridCol w:w="1283"/>
        <w:gridCol w:w="1283"/>
        <w:gridCol w:w="1283"/>
      </w:tblGrid>
      <w:tr w:rsidR="004706E1" w:rsidRPr="002C4AD5" w14:paraId="6AAE9549" w14:textId="77777777" w:rsidTr="004706E1">
        <w:trPr>
          <w:trHeight w:val="78"/>
        </w:trPr>
        <w:tc>
          <w:tcPr>
            <w:tcW w:w="1283" w:type="dxa"/>
          </w:tcPr>
          <w:p w14:paraId="1E44D75D"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5206D989"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6BD432EF"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46B2F6AE"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5AAE54CA"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05C1CBEC"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5E659BB4" w14:textId="1EAA4911"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6CF7B294" w14:textId="25DB0543"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758AD8DD"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r>
      <w:tr w:rsidR="004706E1" w:rsidRPr="002C4AD5" w14:paraId="0E873133" w14:textId="77777777" w:rsidTr="004706E1">
        <w:trPr>
          <w:trHeight w:val="78"/>
        </w:trPr>
        <w:tc>
          <w:tcPr>
            <w:tcW w:w="1283" w:type="dxa"/>
          </w:tcPr>
          <w:p w14:paraId="46A20D3A"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51E23FA3"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6FB03AAF"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56C8500C"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5DB3BB97"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2D6E5E64"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2840212B" w14:textId="76B8DFCB"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53308AE3" w14:textId="7B13235A"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084D0A0C"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r>
      <w:tr w:rsidR="004706E1" w:rsidRPr="002C4AD5" w14:paraId="562A2661" w14:textId="77777777" w:rsidTr="004706E1">
        <w:trPr>
          <w:trHeight w:val="78"/>
        </w:trPr>
        <w:tc>
          <w:tcPr>
            <w:tcW w:w="1283" w:type="dxa"/>
          </w:tcPr>
          <w:p w14:paraId="737725E6"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3CF5E77C"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40BE4E7F"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5FD63ECB"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3933D7B9"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5CFC6692"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5C6791AA" w14:textId="7E27EEAD"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14E7B637" w14:textId="3F4530A2"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184625F0"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r>
      <w:tr w:rsidR="004706E1" w:rsidRPr="002C4AD5" w14:paraId="75DBF76D" w14:textId="77777777" w:rsidTr="004706E1">
        <w:trPr>
          <w:trHeight w:val="78"/>
        </w:trPr>
        <w:tc>
          <w:tcPr>
            <w:tcW w:w="1283" w:type="dxa"/>
          </w:tcPr>
          <w:p w14:paraId="2A0F27F0"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75749AD5" w14:textId="77777777" w:rsidR="004706E1"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p w14:paraId="1564E680" w14:textId="77777777" w:rsidR="007C07B9" w:rsidRDefault="007C07B9"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p w14:paraId="5AEB7F8F" w14:textId="77777777" w:rsidR="007C07B9" w:rsidRDefault="007C07B9"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p w14:paraId="17898098" w14:textId="77777777" w:rsidR="007C07B9" w:rsidRDefault="007C07B9"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p w14:paraId="1117136D" w14:textId="77777777" w:rsidR="007C07B9" w:rsidRDefault="007C07B9"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p w14:paraId="3D50E5A9" w14:textId="77777777" w:rsidR="007C07B9" w:rsidRDefault="007C07B9"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p w14:paraId="63874C8C" w14:textId="77777777" w:rsidR="007C07B9" w:rsidRDefault="007C07B9"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p w14:paraId="589093FD" w14:textId="77777777" w:rsidR="007C07B9" w:rsidRDefault="007C07B9"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p w14:paraId="227BEDB8" w14:textId="77777777" w:rsidR="007C07B9" w:rsidRPr="002C4AD5" w:rsidRDefault="007C07B9"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075B62EB"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57EE9841"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7753C901"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13C51BB0"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5B9A356C" w14:textId="59F7D5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645331EF" w14:textId="0C4C064B"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66AF805A"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r>
      <w:tr w:rsidR="004706E1" w:rsidRPr="002C4AD5" w14:paraId="795419FC" w14:textId="77777777" w:rsidTr="004706E1">
        <w:trPr>
          <w:trHeight w:val="78"/>
        </w:trPr>
        <w:tc>
          <w:tcPr>
            <w:tcW w:w="1283" w:type="dxa"/>
          </w:tcPr>
          <w:p w14:paraId="12AFFEAC"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04C9B985"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49DEDD29"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05D7506E"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303539F8"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747B920E"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18E39600" w14:textId="0BC3E02B"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04FDA6CE" w14:textId="460069B1"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c>
          <w:tcPr>
            <w:tcW w:w="1283" w:type="dxa"/>
          </w:tcPr>
          <w:p w14:paraId="11F4D9CC" w14:textId="77777777" w:rsidR="004706E1" w:rsidRPr="002C4AD5" w:rsidRDefault="004706E1" w:rsidP="002C4AD5">
            <w:pPr>
              <w:autoSpaceDE w:val="0"/>
              <w:autoSpaceDN w:val="0"/>
              <w:adjustRightInd w:val="0"/>
              <w:spacing w:after="0" w:line="240" w:lineRule="auto"/>
              <w:rPr>
                <w:rFonts w:ascii="ITC Franklin Gothic Book" w:hAnsi="ITC Franklin Gothic Book" w:cs="ITC Franklin Gothic Book"/>
                <w:color w:val="000000"/>
                <w:sz w:val="13"/>
                <w:szCs w:val="13"/>
              </w:rPr>
            </w:pPr>
          </w:p>
        </w:tc>
      </w:tr>
    </w:tbl>
    <w:p w14:paraId="2A75BF33" w14:textId="38797978" w:rsidR="002C4AD5" w:rsidRPr="00382064" w:rsidRDefault="00CF5E2D" w:rsidP="003344D8">
      <w:pPr>
        <w:pStyle w:val="NoSpacing"/>
        <w:numPr>
          <w:ilvl w:val="0"/>
          <w:numId w:val="8"/>
        </w:numPr>
        <w:rPr>
          <w:b/>
          <w:sz w:val="28"/>
          <w:szCs w:val="28"/>
        </w:rPr>
      </w:pPr>
      <w:r>
        <w:rPr>
          <w:b/>
          <w:sz w:val="28"/>
          <w:szCs w:val="28"/>
        </w:rPr>
        <w:t>P</w:t>
      </w:r>
      <w:r w:rsidR="00382064">
        <w:rPr>
          <w:b/>
          <w:sz w:val="28"/>
          <w:szCs w:val="28"/>
        </w:rPr>
        <w:t>ermanency</w:t>
      </w:r>
    </w:p>
    <w:p w14:paraId="0234DBAD" w14:textId="77777777" w:rsidR="00CB4A1B" w:rsidRDefault="00CB4A1B" w:rsidP="00CB4A1B">
      <w:pPr>
        <w:pStyle w:val="NoSpacing"/>
      </w:pPr>
    </w:p>
    <w:p w14:paraId="40DC2EA6" w14:textId="77777777" w:rsidR="007E28E9" w:rsidRPr="00382064" w:rsidRDefault="007E28E9" w:rsidP="00CB4A1B">
      <w:pPr>
        <w:pStyle w:val="NoSpacing"/>
        <w:rPr>
          <w:b/>
          <w:sz w:val="24"/>
          <w:szCs w:val="24"/>
        </w:rPr>
      </w:pPr>
      <w:r w:rsidRPr="00382064">
        <w:rPr>
          <w:b/>
          <w:sz w:val="24"/>
          <w:szCs w:val="24"/>
        </w:rPr>
        <w:t>Selected Permanency Indicators</w:t>
      </w:r>
    </w:p>
    <w:p w14:paraId="59F675FD" w14:textId="77777777" w:rsidR="007E28E9" w:rsidRDefault="007E28E9" w:rsidP="00CB4A1B">
      <w:pPr>
        <w:pStyle w:val="NoSpacing"/>
        <w:rPr>
          <w:b/>
          <w:sz w:val="28"/>
          <w:szCs w:val="28"/>
        </w:rPr>
      </w:pPr>
    </w:p>
    <w:p w14:paraId="6A9FA6B1" w14:textId="745317DA" w:rsidR="009278C2" w:rsidRPr="009278C2" w:rsidRDefault="007E28E9" w:rsidP="00CB4A1B">
      <w:pPr>
        <w:pStyle w:val="NoSpacing"/>
        <w:rPr>
          <w:sz w:val="24"/>
          <w:szCs w:val="24"/>
        </w:rPr>
      </w:pPr>
      <w:r w:rsidRPr="005D1BB3">
        <w:rPr>
          <w:b/>
          <w:i/>
          <w:sz w:val="24"/>
          <w:szCs w:val="24"/>
        </w:rPr>
        <w:t>Number of Children in Foster Care at End of Quarter</w:t>
      </w:r>
    </w:p>
    <w:p w14:paraId="09CAC093" w14:textId="77777777" w:rsidR="009278C2" w:rsidRDefault="009278C2" w:rsidP="00CB4A1B">
      <w:pPr>
        <w:pStyle w:val="NoSpacing"/>
        <w:rPr>
          <w:b/>
          <w:i/>
          <w:sz w:val="24"/>
          <w:szCs w:val="24"/>
        </w:rPr>
      </w:pPr>
    </w:p>
    <w:p w14:paraId="424A8CF0" w14:textId="475DFB70" w:rsidR="00A21DB0" w:rsidRDefault="00DB1B2C" w:rsidP="00CB4A1B">
      <w:pPr>
        <w:pStyle w:val="NoSpacing"/>
        <w:rPr>
          <w:sz w:val="24"/>
          <w:szCs w:val="24"/>
        </w:rPr>
      </w:pPr>
      <w:r>
        <w:rPr>
          <w:sz w:val="24"/>
          <w:szCs w:val="24"/>
        </w:rPr>
        <w:t>The table below</w:t>
      </w:r>
      <w:r w:rsidR="004E4AC9">
        <w:rPr>
          <w:sz w:val="24"/>
          <w:szCs w:val="24"/>
        </w:rPr>
        <w:t xml:space="preserve"> shows a slow growth in the number of children in care between 2013 and </w:t>
      </w:r>
      <w:r w:rsidR="00C503AC">
        <w:rPr>
          <w:sz w:val="24"/>
          <w:szCs w:val="24"/>
        </w:rPr>
        <w:t>2015 until</w:t>
      </w:r>
      <w:r w:rsidR="004E4AC9">
        <w:rPr>
          <w:sz w:val="24"/>
          <w:szCs w:val="24"/>
        </w:rPr>
        <w:t xml:space="preserve"> May of 2015, when the number of children grew from 3,875 to 4,323, a substantial increase.  According to DCFS, which constantly monitors these data, the increase is mostly related to fewer children exitin</w:t>
      </w:r>
      <w:r w:rsidR="000B0A26">
        <w:rPr>
          <w:sz w:val="24"/>
          <w:szCs w:val="24"/>
        </w:rPr>
        <w:t>g foster care, as a table in this</w:t>
      </w:r>
      <w:r w:rsidR="004E4AC9">
        <w:rPr>
          <w:sz w:val="24"/>
          <w:szCs w:val="24"/>
        </w:rPr>
        <w:t xml:space="preserve"> section reveals.</w:t>
      </w:r>
    </w:p>
    <w:p w14:paraId="410D9C3E" w14:textId="77777777" w:rsidR="009278C2" w:rsidRDefault="009278C2" w:rsidP="00CB4A1B">
      <w:pPr>
        <w:pStyle w:val="NoSpacing"/>
        <w:rPr>
          <w:sz w:val="24"/>
          <w:szCs w:val="24"/>
        </w:rPr>
      </w:pPr>
    </w:p>
    <w:p w14:paraId="422FD42F" w14:textId="77777777" w:rsidR="003A616C" w:rsidRPr="005D1BB3" w:rsidRDefault="003A616C" w:rsidP="003A616C">
      <w:pPr>
        <w:pStyle w:val="NoSpacing"/>
        <w:rPr>
          <w:sz w:val="24"/>
          <w:szCs w:val="24"/>
        </w:rPr>
      </w:pPr>
      <w:r w:rsidRPr="005D1BB3">
        <w:rPr>
          <w:sz w:val="24"/>
          <w:szCs w:val="24"/>
        </w:rPr>
        <w:t>2</w:t>
      </w:r>
      <w:r w:rsidRPr="005D1BB3">
        <w:rPr>
          <w:sz w:val="24"/>
          <w:szCs w:val="24"/>
          <w:vertAlign w:val="superscript"/>
        </w:rPr>
        <w:t>nd</w:t>
      </w:r>
      <w:r>
        <w:rPr>
          <w:sz w:val="24"/>
          <w:szCs w:val="24"/>
        </w:rPr>
        <w:t xml:space="preserve"> Qtr SFY 2011</w:t>
      </w:r>
      <w:r w:rsidRPr="005D1BB3">
        <w:rPr>
          <w:sz w:val="24"/>
          <w:szCs w:val="24"/>
        </w:rPr>
        <w:t xml:space="preserve"> </w:t>
      </w:r>
      <w:r>
        <w:rPr>
          <w:sz w:val="24"/>
          <w:szCs w:val="24"/>
        </w:rPr>
        <w:t>–</w:t>
      </w:r>
      <w:r w:rsidRPr="005D1BB3">
        <w:rPr>
          <w:sz w:val="24"/>
          <w:szCs w:val="24"/>
        </w:rPr>
        <w:t xml:space="preserve"> </w:t>
      </w:r>
      <w:r>
        <w:rPr>
          <w:sz w:val="24"/>
          <w:szCs w:val="24"/>
        </w:rPr>
        <w:t>4,072</w:t>
      </w:r>
    </w:p>
    <w:p w14:paraId="3FEBEADD" w14:textId="77777777" w:rsidR="003A616C" w:rsidRPr="005D1BB3" w:rsidRDefault="003A616C" w:rsidP="003A616C">
      <w:pPr>
        <w:pStyle w:val="NoSpacing"/>
        <w:rPr>
          <w:sz w:val="24"/>
          <w:szCs w:val="24"/>
        </w:rPr>
      </w:pPr>
      <w:r w:rsidRPr="005D1BB3">
        <w:rPr>
          <w:sz w:val="24"/>
          <w:szCs w:val="24"/>
        </w:rPr>
        <w:t>2</w:t>
      </w:r>
      <w:r w:rsidRPr="005D1BB3">
        <w:rPr>
          <w:sz w:val="24"/>
          <w:szCs w:val="24"/>
          <w:vertAlign w:val="superscript"/>
        </w:rPr>
        <w:t>nd</w:t>
      </w:r>
      <w:r>
        <w:rPr>
          <w:sz w:val="24"/>
          <w:szCs w:val="24"/>
        </w:rPr>
        <w:t xml:space="preserve"> Qtr SFY 2012</w:t>
      </w:r>
      <w:r w:rsidRPr="005D1BB3">
        <w:rPr>
          <w:sz w:val="24"/>
          <w:szCs w:val="24"/>
        </w:rPr>
        <w:t xml:space="preserve"> </w:t>
      </w:r>
      <w:r>
        <w:rPr>
          <w:sz w:val="24"/>
          <w:szCs w:val="24"/>
        </w:rPr>
        <w:t>–</w:t>
      </w:r>
      <w:r w:rsidRPr="005D1BB3">
        <w:rPr>
          <w:sz w:val="24"/>
          <w:szCs w:val="24"/>
        </w:rPr>
        <w:t xml:space="preserve"> </w:t>
      </w:r>
      <w:r>
        <w:rPr>
          <w:sz w:val="24"/>
          <w:szCs w:val="24"/>
        </w:rPr>
        <w:t>4,002</w:t>
      </w:r>
    </w:p>
    <w:p w14:paraId="589DE751" w14:textId="77777777" w:rsidR="003A616C" w:rsidRPr="005D1BB3" w:rsidRDefault="003A616C" w:rsidP="003A616C">
      <w:pPr>
        <w:pStyle w:val="NoSpacing"/>
        <w:rPr>
          <w:sz w:val="24"/>
          <w:szCs w:val="24"/>
        </w:rPr>
      </w:pPr>
      <w:r w:rsidRPr="005D1BB3">
        <w:rPr>
          <w:sz w:val="24"/>
          <w:szCs w:val="24"/>
        </w:rPr>
        <w:t>2</w:t>
      </w:r>
      <w:r w:rsidRPr="005D1BB3">
        <w:rPr>
          <w:sz w:val="24"/>
          <w:szCs w:val="24"/>
          <w:vertAlign w:val="superscript"/>
        </w:rPr>
        <w:t>nd</w:t>
      </w:r>
      <w:r w:rsidRPr="005D1BB3">
        <w:rPr>
          <w:sz w:val="24"/>
          <w:szCs w:val="24"/>
        </w:rPr>
        <w:t xml:space="preserve"> Qtr SFY 2013 </w:t>
      </w:r>
      <w:r>
        <w:rPr>
          <w:sz w:val="24"/>
          <w:szCs w:val="24"/>
        </w:rPr>
        <w:t>–</w:t>
      </w:r>
      <w:r w:rsidRPr="005D1BB3">
        <w:rPr>
          <w:sz w:val="24"/>
          <w:szCs w:val="24"/>
        </w:rPr>
        <w:t xml:space="preserve"> </w:t>
      </w:r>
      <w:r>
        <w:rPr>
          <w:sz w:val="24"/>
          <w:szCs w:val="24"/>
        </w:rPr>
        <w:t>3,862</w:t>
      </w:r>
    </w:p>
    <w:p w14:paraId="3CBFEFC2" w14:textId="77777777" w:rsidR="003A616C" w:rsidRPr="005D1BB3" w:rsidRDefault="003A616C" w:rsidP="003A616C">
      <w:pPr>
        <w:pStyle w:val="NoSpacing"/>
        <w:rPr>
          <w:sz w:val="24"/>
          <w:szCs w:val="24"/>
        </w:rPr>
      </w:pPr>
      <w:r w:rsidRPr="005D1BB3">
        <w:rPr>
          <w:sz w:val="24"/>
          <w:szCs w:val="24"/>
        </w:rPr>
        <w:t>2</w:t>
      </w:r>
      <w:r w:rsidRPr="005D1BB3">
        <w:rPr>
          <w:sz w:val="24"/>
          <w:szCs w:val="24"/>
          <w:vertAlign w:val="superscript"/>
        </w:rPr>
        <w:t>nd</w:t>
      </w:r>
      <w:r w:rsidRPr="005D1BB3">
        <w:rPr>
          <w:sz w:val="24"/>
          <w:szCs w:val="24"/>
        </w:rPr>
        <w:t xml:space="preserve"> Qtr SFY 2014 </w:t>
      </w:r>
      <w:r>
        <w:rPr>
          <w:sz w:val="24"/>
          <w:szCs w:val="24"/>
        </w:rPr>
        <w:t>– 3,855</w:t>
      </w:r>
    </w:p>
    <w:p w14:paraId="2A5DBD72" w14:textId="77777777" w:rsidR="003A616C" w:rsidRDefault="003A616C" w:rsidP="003A616C">
      <w:pPr>
        <w:pStyle w:val="NoSpacing"/>
        <w:rPr>
          <w:sz w:val="24"/>
          <w:szCs w:val="24"/>
        </w:rPr>
      </w:pPr>
      <w:r w:rsidRPr="005D1BB3">
        <w:rPr>
          <w:sz w:val="24"/>
          <w:szCs w:val="24"/>
        </w:rPr>
        <w:t>2</w:t>
      </w:r>
      <w:r w:rsidRPr="005D1BB3">
        <w:rPr>
          <w:sz w:val="24"/>
          <w:szCs w:val="24"/>
          <w:vertAlign w:val="superscript"/>
        </w:rPr>
        <w:t>nd</w:t>
      </w:r>
      <w:r w:rsidRPr="005D1BB3">
        <w:rPr>
          <w:sz w:val="24"/>
          <w:szCs w:val="24"/>
        </w:rPr>
        <w:t xml:space="preserve"> Qtr SFY 2015 –</w:t>
      </w:r>
      <w:r>
        <w:rPr>
          <w:sz w:val="24"/>
          <w:szCs w:val="24"/>
        </w:rPr>
        <w:t xml:space="preserve"> 3,875</w:t>
      </w:r>
    </w:p>
    <w:p w14:paraId="69397B54" w14:textId="77777777" w:rsidR="003A616C" w:rsidRPr="005D1BB3" w:rsidRDefault="003A616C" w:rsidP="003A616C">
      <w:pPr>
        <w:pStyle w:val="NoSpacing"/>
        <w:rPr>
          <w:sz w:val="24"/>
          <w:szCs w:val="24"/>
        </w:rPr>
      </w:pPr>
      <w:r>
        <w:rPr>
          <w:sz w:val="24"/>
          <w:szCs w:val="24"/>
        </w:rPr>
        <w:t xml:space="preserve">***There were </w:t>
      </w:r>
      <w:r w:rsidRPr="00066318">
        <w:rPr>
          <w:b/>
          <w:sz w:val="24"/>
          <w:szCs w:val="24"/>
        </w:rPr>
        <w:t>4,374</w:t>
      </w:r>
      <w:r>
        <w:rPr>
          <w:sz w:val="24"/>
          <w:szCs w:val="24"/>
        </w:rPr>
        <w:t xml:space="preserve"> children in care on 05/27/15***</w:t>
      </w:r>
    </w:p>
    <w:p w14:paraId="76B70654" w14:textId="77777777" w:rsidR="004E4AC9" w:rsidRDefault="004E4AC9" w:rsidP="007E28E9">
      <w:pPr>
        <w:pStyle w:val="NoSpacing"/>
        <w:rPr>
          <w:sz w:val="24"/>
          <w:szCs w:val="24"/>
        </w:rPr>
      </w:pPr>
    </w:p>
    <w:p w14:paraId="667AC35E" w14:textId="77777777" w:rsidR="004E4AC9" w:rsidRDefault="004E4AC9" w:rsidP="004E4AC9">
      <w:pPr>
        <w:pStyle w:val="NoSpacing"/>
        <w:rPr>
          <w:b/>
          <w:sz w:val="24"/>
          <w:szCs w:val="24"/>
        </w:rPr>
      </w:pPr>
      <w:r w:rsidRPr="00530339">
        <w:rPr>
          <w:b/>
          <w:i/>
          <w:sz w:val="24"/>
          <w:szCs w:val="24"/>
        </w:rPr>
        <w:t>Foster Care Entries and Exits</w:t>
      </w:r>
    </w:p>
    <w:p w14:paraId="0EA5DAEC" w14:textId="77777777" w:rsidR="004E4AC9" w:rsidRDefault="004E4AC9" w:rsidP="007E28E9">
      <w:pPr>
        <w:pStyle w:val="NoSpacing"/>
        <w:rPr>
          <w:sz w:val="24"/>
          <w:szCs w:val="24"/>
        </w:rPr>
      </w:pPr>
    </w:p>
    <w:tbl>
      <w:tblPr>
        <w:tblStyle w:val="TableGrid"/>
        <w:tblW w:w="0" w:type="auto"/>
        <w:tblLook w:val="04A0" w:firstRow="1" w:lastRow="0" w:firstColumn="1" w:lastColumn="0" w:noHBand="0" w:noVBand="1"/>
      </w:tblPr>
      <w:tblGrid>
        <w:gridCol w:w="1615"/>
        <w:gridCol w:w="1465"/>
        <w:gridCol w:w="1568"/>
        <w:gridCol w:w="1568"/>
        <w:gridCol w:w="1568"/>
        <w:gridCol w:w="1566"/>
      </w:tblGrid>
      <w:tr w:rsidR="003A616C" w14:paraId="2601AA99" w14:textId="77777777" w:rsidTr="00EE1DCA">
        <w:tc>
          <w:tcPr>
            <w:tcW w:w="1649" w:type="dxa"/>
          </w:tcPr>
          <w:p w14:paraId="0BCC472F" w14:textId="77777777" w:rsidR="003A616C" w:rsidRPr="00530339" w:rsidRDefault="003A616C" w:rsidP="00EE1DCA">
            <w:pPr>
              <w:pStyle w:val="NoSpacing"/>
              <w:rPr>
                <w:sz w:val="24"/>
                <w:szCs w:val="24"/>
              </w:rPr>
            </w:pPr>
            <w:r w:rsidRPr="00530339">
              <w:rPr>
                <w:sz w:val="24"/>
                <w:szCs w:val="24"/>
              </w:rPr>
              <w:t>Period</w:t>
            </w:r>
          </w:p>
        </w:tc>
        <w:tc>
          <w:tcPr>
            <w:tcW w:w="1499" w:type="dxa"/>
          </w:tcPr>
          <w:p w14:paraId="36D39970" w14:textId="77777777" w:rsidR="003A616C" w:rsidRPr="00530339" w:rsidRDefault="003A616C" w:rsidP="00EE1DCA">
            <w:pPr>
              <w:pStyle w:val="NoSpacing"/>
              <w:jc w:val="center"/>
              <w:rPr>
                <w:sz w:val="24"/>
                <w:szCs w:val="24"/>
              </w:rPr>
            </w:pPr>
            <w:r>
              <w:rPr>
                <w:sz w:val="24"/>
                <w:szCs w:val="24"/>
              </w:rPr>
              <w:t>2011</w:t>
            </w:r>
          </w:p>
        </w:tc>
        <w:tc>
          <w:tcPr>
            <w:tcW w:w="1607" w:type="dxa"/>
          </w:tcPr>
          <w:p w14:paraId="6EB21C7A" w14:textId="77777777" w:rsidR="003A616C" w:rsidRPr="00530339" w:rsidRDefault="003A616C" w:rsidP="00EE1DCA">
            <w:pPr>
              <w:pStyle w:val="NoSpacing"/>
              <w:jc w:val="center"/>
              <w:rPr>
                <w:sz w:val="24"/>
                <w:szCs w:val="24"/>
              </w:rPr>
            </w:pPr>
            <w:r w:rsidRPr="00530339">
              <w:rPr>
                <w:sz w:val="24"/>
                <w:szCs w:val="24"/>
              </w:rPr>
              <w:t>2012</w:t>
            </w:r>
          </w:p>
        </w:tc>
        <w:tc>
          <w:tcPr>
            <w:tcW w:w="1607" w:type="dxa"/>
          </w:tcPr>
          <w:p w14:paraId="41FB5667" w14:textId="77777777" w:rsidR="003A616C" w:rsidRPr="00530339" w:rsidRDefault="003A616C" w:rsidP="00EE1DCA">
            <w:pPr>
              <w:pStyle w:val="NoSpacing"/>
              <w:jc w:val="center"/>
              <w:rPr>
                <w:sz w:val="24"/>
                <w:szCs w:val="24"/>
              </w:rPr>
            </w:pPr>
            <w:r w:rsidRPr="00530339">
              <w:rPr>
                <w:sz w:val="24"/>
                <w:szCs w:val="24"/>
              </w:rPr>
              <w:t>2013</w:t>
            </w:r>
          </w:p>
        </w:tc>
        <w:tc>
          <w:tcPr>
            <w:tcW w:w="1607" w:type="dxa"/>
          </w:tcPr>
          <w:p w14:paraId="622E7E6A" w14:textId="77777777" w:rsidR="003A616C" w:rsidRPr="00530339" w:rsidRDefault="003A616C" w:rsidP="00EE1DCA">
            <w:pPr>
              <w:pStyle w:val="NoSpacing"/>
              <w:jc w:val="center"/>
              <w:rPr>
                <w:sz w:val="24"/>
                <w:szCs w:val="24"/>
              </w:rPr>
            </w:pPr>
            <w:r w:rsidRPr="00530339">
              <w:rPr>
                <w:sz w:val="24"/>
                <w:szCs w:val="24"/>
              </w:rPr>
              <w:t>2014</w:t>
            </w:r>
          </w:p>
        </w:tc>
        <w:tc>
          <w:tcPr>
            <w:tcW w:w="1607" w:type="dxa"/>
          </w:tcPr>
          <w:p w14:paraId="2CB48FE9" w14:textId="77777777" w:rsidR="003A616C" w:rsidRPr="00530339" w:rsidRDefault="003A616C" w:rsidP="00EE1DCA">
            <w:pPr>
              <w:pStyle w:val="NoSpacing"/>
              <w:jc w:val="center"/>
              <w:rPr>
                <w:sz w:val="24"/>
                <w:szCs w:val="24"/>
              </w:rPr>
            </w:pPr>
            <w:r>
              <w:rPr>
                <w:sz w:val="24"/>
                <w:szCs w:val="24"/>
              </w:rPr>
              <w:t>2</w:t>
            </w:r>
            <w:r w:rsidRPr="00530339">
              <w:rPr>
                <w:sz w:val="24"/>
                <w:szCs w:val="24"/>
                <w:vertAlign w:val="superscript"/>
              </w:rPr>
              <w:t>nd</w:t>
            </w:r>
            <w:r>
              <w:rPr>
                <w:sz w:val="24"/>
                <w:szCs w:val="24"/>
              </w:rPr>
              <w:t xml:space="preserve"> Qtr 2015</w:t>
            </w:r>
          </w:p>
        </w:tc>
      </w:tr>
      <w:tr w:rsidR="003A616C" w14:paraId="2B2B4FCE" w14:textId="77777777" w:rsidTr="00EE1DCA">
        <w:tc>
          <w:tcPr>
            <w:tcW w:w="1649" w:type="dxa"/>
          </w:tcPr>
          <w:p w14:paraId="28FA77F7" w14:textId="77777777" w:rsidR="003A616C" w:rsidRPr="00530339" w:rsidRDefault="003A616C" w:rsidP="00EE1DCA">
            <w:pPr>
              <w:pStyle w:val="NoSpacing"/>
              <w:rPr>
                <w:sz w:val="24"/>
                <w:szCs w:val="24"/>
              </w:rPr>
            </w:pPr>
            <w:r w:rsidRPr="00530339">
              <w:rPr>
                <w:sz w:val="24"/>
                <w:szCs w:val="24"/>
              </w:rPr>
              <w:t>Entries</w:t>
            </w:r>
          </w:p>
        </w:tc>
        <w:tc>
          <w:tcPr>
            <w:tcW w:w="1499" w:type="dxa"/>
          </w:tcPr>
          <w:p w14:paraId="2BD9040A" w14:textId="77777777" w:rsidR="003A616C" w:rsidRPr="00530339" w:rsidRDefault="003A616C" w:rsidP="00EE1DCA">
            <w:pPr>
              <w:pStyle w:val="NoSpacing"/>
              <w:jc w:val="center"/>
              <w:rPr>
                <w:sz w:val="24"/>
                <w:szCs w:val="24"/>
              </w:rPr>
            </w:pPr>
            <w:r>
              <w:rPr>
                <w:sz w:val="24"/>
                <w:szCs w:val="24"/>
              </w:rPr>
              <w:t>4,126</w:t>
            </w:r>
          </w:p>
        </w:tc>
        <w:tc>
          <w:tcPr>
            <w:tcW w:w="1607" w:type="dxa"/>
          </w:tcPr>
          <w:p w14:paraId="3F7CCE26" w14:textId="77777777" w:rsidR="003A616C" w:rsidRPr="00530339" w:rsidRDefault="003A616C" w:rsidP="00EE1DCA">
            <w:pPr>
              <w:pStyle w:val="NoSpacing"/>
              <w:jc w:val="center"/>
              <w:rPr>
                <w:sz w:val="24"/>
                <w:szCs w:val="24"/>
              </w:rPr>
            </w:pPr>
            <w:r>
              <w:rPr>
                <w:sz w:val="24"/>
                <w:szCs w:val="24"/>
              </w:rPr>
              <w:t>3,873</w:t>
            </w:r>
          </w:p>
        </w:tc>
        <w:tc>
          <w:tcPr>
            <w:tcW w:w="1607" w:type="dxa"/>
          </w:tcPr>
          <w:p w14:paraId="31FD4B77" w14:textId="77777777" w:rsidR="003A616C" w:rsidRPr="00530339" w:rsidRDefault="003A616C" w:rsidP="00EE1DCA">
            <w:pPr>
              <w:pStyle w:val="NoSpacing"/>
              <w:jc w:val="center"/>
              <w:rPr>
                <w:sz w:val="24"/>
                <w:szCs w:val="24"/>
              </w:rPr>
            </w:pPr>
            <w:r>
              <w:rPr>
                <w:sz w:val="24"/>
                <w:szCs w:val="24"/>
              </w:rPr>
              <w:t>3,901</w:t>
            </w:r>
          </w:p>
        </w:tc>
        <w:tc>
          <w:tcPr>
            <w:tcW w:w="1607" w:type="dxa"/>
          </w:tcPr>
          <w:p w14:paraId="5D44EEE4" w14:textId="77777777" w:rsidR="003A616C" w:rsidRPr="00530339" w:rsidRDefault="003A616C" w:rsidP="00EE1DCA">
            <w:pPr>
              <w:pStyle w:val="NoSpacing"/>
              <w:jc w:val="center"/>
              <w:rPr>
                <w:sz w:val="24"/>
                <w:szCs w:val="24"/>
              </w:rPr>
            </w:pPr>
            <w:r>
              <w:rPr>
                <w:sz w:val="24"/>
                <w:szCs w:val="24"/>
              </w:rPr>
              <w:t>3,835</w:t>
            </w:r>
          </w:p>
        </w:tc>
        <w:tc>
          <w:tcPr>
            <w:tcW w:w="1607" w:type="dxa"/>
          </w:tcPr>
          <w:p w14:paraId="388D98CA" w14:textId="77777777" w:rsidR="003A616C" w:rsidRPr="00530339" w:rsidRDefault="003A616C" w:rsidP="00EE1DCA">
            <w:pPr>
              <w:pStyle w:val="NoSpacing"/>
              <w:jc w:val="center"/>
              <w:rPr>
                <w:sz w:val="24"/>
                <w:szCs w:val="24"/>
              </w:rPr>
            </w:pPr>
            <w:r>
              <w:rPr>
                <w:sz w:val="24"/>
                <w:szCs w:val="24"/>
              </w:rPr>
              <w:t>715</w:t>
            </w:r>
          </w:p>
        </w:tc>
      </w:tr>
      <w:tr w:rsidR="003A616C" w14:paraId="7AD90CB1" w14:textId="77777777" w:rsidTr="00EE1DCA">
        <w:tc>
          <w:tcPr>
            <w:tcW w:w="1649" w:type="dxa"/>
          </w:tcPr>
          <w:p w14:paraId="37A1642F" w14:textId="77777777" w:rsidR="003A616C" w:rsidRPr="00530339" w:rsidRDefault="003A616C" w:rsidP="00EE1DCA">
            <w:pPr>
              <w:pStyle w:val="NoSpacing"/>
              <w:rPr>
                <w:sz w:val="24"/>
                <w:szCs w:val="24"/>
              </w:rPr>
            </w:pPr>
            <w:r w:rsidRPr="00530339">
              <w:rPr>
                <w:sz w:val="24"/>
                <w:szCs w:val="24"/>
              </w:rPr>
              <w:t>Exits</w:t>
            </w:r>
          </w:p>
        </w:tc>
        <w:tc>
          <w:tcPr>
            <w:tcW w:w="1499" w:type="dxa"/>
          </w:tcPr>
          <w:p w14:paraId="458D2A74" w14:textId="77777777" w:rsidR="003A616C" w:rsidRPr="00530339" w:rsidRDefault="003A616C" w:rsidP="00EE1DCA">
            <w:pPr>
              <w:pStyle w:val="NoSpacing"/>
              <w:jc w:val="center"/>
              <w:rPr>
                <w:sz w:val="24"/>
                <w:szCs w:val="24"/>
              </w:rPr>
            </w:pPr>
            <w:r>
              <w:rPr>
                <w:sz w:val="24"/>
                <w:szCs w:val="24"/>
              </w:rPr>
              <w:t>4,071</w:t>
            </w:r>
          </w:p>
        </w:tc>
        <w:tc>
          <w:tcPr>
            <w:tcW w:w="1607" w:type="dxa"/>
          </w:tcPr>
          <w:p w14:paraId="53A273A3" w14:textId="77777777" w:rsidR="003A616C" w:rsidRPr="00530339" w:rsidRDefault="003A616C" w:rsidP="00EE1DCA">
            <w:pPr>
              <w:pStyle w:val="NoSpacing"/>
              <w:jc w:val="center"/>
              <w:rPr>
                <w:sz w:val="24"/>
                <w:szCs w:val="24"/>
              </w:rPr>
            </w:pPr>
            <w:r>
              <w:rPr>
                <w:sz w:val="24"/>
                <w:szCs w:val="24"/>
              </w:rPr>
              <w:t>3,894</w:t>
            </w:r>
          </w:p>
        </w:tc>
        <w:tc>
          <w:tcPr>
            <w:tcW w:w="1607" w:type="dxa"/>
          </w:tcPr>
          <w:p w14:paraId="1A3B29B4" w14:textId="77777777" w:rsidR="003A616C" w:rsidRPr="00530339" w:rsidRDefault="003A616C" w:rsidP="00EE1DCA">
            <w:pPr>
              <w:pStyle w:val="NoSpacing"/>
              <w:jc w:val="center"/>
              <w:rPr>
                <w:sz w:val="24"/>
                <w:szCs w:val="24"/>
              </w:rPr>
            </w:pPr>
            <w:r>
              <w:rPr>
                <w:sz w:val="24"/>
                <w:szCs w:val="24"/>
              </w:rPr>
              <w:t>3,913</w:t>
            </w:r>
          </w:p>
        </w:tc>
        <w:tc>
          <w:tcPr>
            <w:tcW w:w="1607" w:type="dxa"/>
          </w:tcPr>
          <w:p w14:paraId="6ABBB109" w14:textId="77777777" w:rsidR="003A616C" w:rsidRPr="00530339" w:rsidRDefault="003A616C" w:rsidP="00EE1DCA">
            <w:pPr>
              <w:pStyle w:val="NoSpacing"/>
              <w:jc w:val="center"/>
              <w:rPr>
                <w:sz w:val="24"/>
                <w:szCs w:val="24"/>
              </w:rPr>
            </w:pPr>
            <w:r>
              <w:rPr>
                <w:sz w:val="24"/>
                <w:szCs w:val="24"/>
              </w:rPr>
              <w:t>3,592</w:t>
            </w:r>
          </w:p>
        </w:tc>
        <w:tc>
          <w:tcPr>
            <w:tcW w:w="1607" w:type="dxa"/>
          </w:tcPr>
          <w:p w14:paraId="3D838D85" w14:textId="77777777" w:rsidR="003A616C" w:rsidRPr="00530339" w:rsidRDefault="003A616C" w:rsidP="00EE1DCA">
            <w:pPr>
              <w:pStyle w:val="NoSpacing"/>
              <w:jc w:val="center"/>
              <w:rPr>
                <w:sz w:val="24"/>
                <w:szCs w:val="24"/>
              </w:rPr>
            </w:pPr>
            <w:r>
              <w:rPr>
                <w:sz w:val="24"/>
                <w:szCs w:val="24"/>
              </w:rPr>
              <w:t>841</w:t>
            </w:r>
          </w:p>
        </w:tc>
      </w:tr>
    </w:tbl>
    <w:p w14:paraId="73C8D949" w14:textId="77777777" w:rsidR="004E4AC9" w:rsidRDefault="004E4AC9" w:rsidP="007E28E9">
      <w:pPr>
        <w:pStyle w:val="NoSpacing"/>
        <w:rPr>
          <w:sz w:val="24"/>
          <w:szCs w:val="24"/>
        </w:rPr>
      </w:pPr>
    </w:p>
    <w:p w14:paraId="10FF6869" w14:textId="6912476F" w:rsidR="00AD1DEA" w:rsidRPr="005D1BB3" w:rsidRDefault="00AD1DEA" w:rsidP="007E28E9">
      <w:pPr>
        <w:pStyle w:val="NoSpacing"/>
        <w:rPr>
          <w:sz w:val="24"/>
          <w:szCs w:val="24"/>
        </w:rPr>
      </w:pPr>
      <w:r>
        <w:rPr>
          <w:sz w:val="24"/>
          <w:szCs w:val="24"/>
        </w:rPr>
        <w:t xml:space="preserve">These data show slightly more foster care entries than exits in 2014, which means that the </w:t>
      </w:r>
      <w:r w:rsidR="002570E6">
        <w:rPr>
          <w:sz w:val="24"/>
          <w:szCs w:val="24"/>
        </w:rPr>
        <w:t xml:space="preserve">2015 </w:t>
      </w:r>
      <w:r>
        <w:rPr>
          <w:sz w:val="24"/>
          <w:szCs w:val="24"/>
        </w:rPr>
        <w:t>foster care population is growing.  The trend was briefly re</w:t>
      </w:r>
      <w:r w:rsidR="00CF5E2D">
        <w:rPr>
          <w:sz w:val="24"/>
          <w:szCs w:val="24"/>
        </w:rPr>
        <w:t>versed in the 2nd Quarter, but D</w:t>
      </w:r>
      <w:r>
        <w:rPr>
          <w:sz w:val="24"/>
          <w:szCs w:val="24"/>
        </w:rPr>
        <w:t xml:space="preserve">CFS states that currently there are </w:t>
      </w:r>
      <w:r w:rsidR="000B0A26">
        <w:rPr>
          <w:sz w:val="24"/>
          <w:szCs w:val="24"/>
        </w:rPr>
        <w:t xml:space="preserve">now </w:t>
      </w:r>
      <w:r>
        <w:rPr>
          <w:sz w:val="24"/>
          <w:szCs w:val="24"/>
        </w:rPr>
        <w:t>fewer exits than entries, which has caused a significant increase in the total number of children in out-of-home care.</w:t>
      </w:r>
    </w:p>
    <w:p w14:paraId="7B44B070" w14:textId="77777777" w:rsidR="007E28E9" w:rsidRPr="005D1BB3" w:rsidRDefault="007E28E9" w:rsidP="007E28E9">
      <w:pPr>
        <w:pStyle w:val="NoSpacing"/>
        <w:rPr>
          <w:sz w:val="24"/>
          <w:szCs w:val="24"/>
        </w:rPr>
      </w:pPr>
    </w:p>
    <w:p w14:paraId="1531C0AF" w14:textId="77777777" w:rsidR="007E28E9" w:rsidRDefault="007E28E9" w:rsidP="007E28E9">
      <w:pPr>
        <w:pStyle w:val="NoSpacing"/>
        <w:rPr>
          <w:b/>
          <w:i/>
          <w:sz w:val="24"/>
          <w:szCs w:val="24"/>
        </w:rPr>
      </w:pPr>
      <w:r w:rsidRPr="005D1BB3">
        <w:rPr>
          <w:b/>
          <w:i/>
          <w:sz w:val="24"/>
          <w:szCs w:val="24"/>
        </w:rPr>
        <w:t>Percent of Children in Foster Care per 1000 Children at End of Quarter</w:t>
      </w:r>
    </w:p>
    <w:p w14:paraId="30B9C720" w14:textId="77777777" w:rsidR="004E4AC9" w:rsidRDefault="004E4AC9" w:rsidP="007E28E9">
      <w:pPr>
        <w:pStyle w:val="NoSpacing"/>
        <w:rPr>
          <w:b/>
          <w:i/>
          <w:sz w:val="24"/>
          <w:szCs w:val="24"/>
        </w:rPr>
      </w:pPr>
    </w:p>
    <w:p w14:paraId="6218F063" w14:textId="77777777" w:rsidR="004E4AC9" w:rsidRDefault="004E4AC9" w:rsidP="007E28E9">
      <w:pPr>
        <w:pStyle w:val="NoSpacing"/>
        <w:rPr>
          <w:sz w:val="24"/>
          <w:szCs w:val="24"/>
        </w:rPr>
      </w:pPr>
      <w:r>
        <w:rPr>
          <w:sz w:val="24"/>
          <w:szCs w:val="24"/>
        </w:rPr>
        <w:t xml:space="preserve">The percentage of children in out-of-home care per 1000 children is a rough index of the system’s </w:t>
      </w:r>
      <w:r w:rsidR="00B30964">
        <w:rPr>
          <w:sz w:val="24"/>
          <w:szCs w:val="24"/>
        </w:rPr>
        <w:t>ability to keep</w:t>
      </w:r>
      <w:r>
        <w:rPr>
          <w:sz w:val="24"/>
          <w:szCs w:val="24"/>
        </w:rPr>
        <w:t xml:space="preserve"> children safely </w:t>
      </w:r>
      <w:r w:rsidR="00B30964">
        <w:rPr>
          <w:sz w:val="24"/>
          <w:szCs w:val="24"/>
        </w:rPr>
        <w:t xml:space="preserve">in their </w:t>
      </w:r>
      <w:r w:rsidR="003A616C">
        <w:rPr>
          <w:sz w:val="24"/>
          <w:szCs w:val="24"/>
        </w:rPr>
        <w:t>own homes and provide them permane</w:t>
      </w:r>
      <w:r w:rsidR="00B30964">
        <w:rPr>
          <w:sz w:val="24"/>
          <w:szCs w:val="24"/>
        </w:rPr>
        <w:t>nt homes once they enter care.</w:t>
      </w:r>
      <w:r>
        <w:rPr>
          <w:sz w:val="24"/>
          <w:szCs w:val="24"/>
        </w:rPr>
        <w:t xml:space="preserve">  The national average</w:t>
      </w:r>
      <w:r w:rsidR="00B30964">
        <w:rPr>
          <w:sz w:val="24"/>
          <w:szCs w:val="24"/>
        </w:rPr>
        <w:t xml:space="preserve"> for FY 14 was 5.3 children </w:t>
      </w:r>
      <w:r>
        <w:rPr>
          <w:sz w:val="24"/>
          <w:szCs w:val="24"/>
        </w:rPr>
        <w:t>per 1,000.</w:t>
      </w:r>
      <w:r w:rsidR="00B30964">
        <w:rPr>
          <w:sz w:val="24"/>
          <w:szCs w:val="24"/>
        </w:rPr>
        <w:t xml:space="preserve">  For that period the Arkansas rate was 5.4.</w:t>
      </w:r>
    </w:p>
    <w:p w14:paraId="2C8E4F52" w14:textId="77777777" w:rsidR="001F5BE9" w:rsidRDefault="001F5BE9" w:rsidP="007E28E9">
      <w:pPr>
        <w:pStyle w:val="NoSpacing"/>
        <w:rPr>
          <w:b/>
          <w:i/>
          <w:sz w:val="24"/>
          <w:szCs w:val="24"/>
        </w:rPr>
      </w:pPr>
    </w:p>
    <w:p w14:paraId="79D5490A" w14:textId="77777777" w:rsidR="003566CC" w:rsidRPr="005D1BB3" w:rsidRDefault="007E28E9" w:rsidP="007E28E9">
      <w:pPr>
        <w:pStyle w:val="NoSpacing"/>
        <w:rPr>
          <w:b/>
          <w:i/>
          <w:sz w:val="24"/>
          <w:szCs w:val="24"/>
        </w:rPr>
      </w:pPr>
      <w:r w:rsidRPr="005D1BB3">
        <w:rPr>
          <w:b/>
          <w:i/>
          <w:sz w:val="24"/>
          <w:szCs w:val="24"/>
        </w:rPr>
        <w:t>Percent of Children in Foster Care by Placement Type</w:t>
      </w:r>
      <w:r w:rsidR="003566CC" w:rsidRPr="005D1BB3">
        <w:rPr>
          <w:b/>
          <w:i/>
          <w:sz w:val="24"/>
          <w:szCs w:val="24"/>
        </w:rPr>
        <w:t xml:space="preserve"> </w:t>
      </w:r>
      <w:r w:rsidR="00612914" w:rsidRPr="005D1BB3">
        <w:rPr>
          <w:b/>
          <w:i/>
          <w:sz w:val="24"/>
          <w:szCs w:val="24"/>
        </w:rPr>
        <w:t>End of FY</w:t>
      </w:r>
    </w:p>
    <w:p w14:paraId="06600D75" w14:textId="77777777" w:rsidR="00F37C11" w:rsidRDefault="00F37C11" w:rsidP="007E28E9">
      <w:pPr>
        <w:pStyle w:val="NoSpacing"/>
        <w:tabs>
          <w:tab w:val="left" w:pos="2042"/>
        </w:tabs>
        <w:rPr>
          <w:sz w:val="24"/>
          <w:szCs w:val="24"/>
        </w:rPr>
      </w:pPr>
    </w:p>
    <w:tbl>
      <w:tblPr>
        <w:tblW w:w="7760" w:type="dxa"/>
        <w:tblInd w:w="93" w:type="dxa"/>
        <w:tblLook w:val="04A0" w:firstRow="1" w:lastRow="0" w:firstColumn="1" w:lastColumn="0" w:noHBand="0" w:noVBand="1"/>
      </w:tblPr>
      <w:tblGrid>
        <w:gridCol w:w="3319"/>
        <w:gridCol w:w="889"/>
        <w:gridCol w:w="888"/>
        <w:gridCol w:w="888"/>
        <w:gridCol w:w="888"/>
        <w:gridCol w:w="888"/>
      </w:tblGrid>
      <w:tr w:rsidR="003A616C" w:rsidRPr="00551045" w14:paraId="0E1BA811" w14:textId="77777777" w:rsidTr="00EE1DCA">
        <w:trPr>
          <w:trHeight w:val="315"/>
        </w:trPr>
        <w:tc>
          <w:tcPr>
            <w:tcW w:w="7760" w:type="dxa"/>
            <w:gridSpan w:val="6"/>
            <w:tcBorders>
              <w:top w:val="single" w:sz="8" w:space="0" w:color="auto"/>
              <w:left w:val="single" w:sz="8" w:space="0" w:color="auto"/>
              <w:bottom w:val="single" w:sz="8" w:space="0" w:color="auto"/>
              <w:right w:val="single" w:sz="8" w:space="0" w:color="000000"/>
            </w:tcBorders>
            <w:shd w:val="clear" w:color="000000" w:fill="000000"/>
            <w:vAlign w:val="center"/>
            <w:hideMark/>
          </w:tcPr>
          <w:p w14:paraId="2DF0E8B1" w14:textId="77777777" w:rsidR="003A616C" w:rsidRPr="00551045" w:rsidRDefault="003A616C" w:rsidP="00EE1DCA">
            <w:pPr>
              <w:spacing w:after="0" w:line="240" w:lineRule="auto"/>
              <w:jc w:val="center"/>
              <w:rPr>
                <w:rFonts w:ascii="Calibri" w:eastAsia="Times New Roman" w:hAnsi="Calibri" w:cs="Times New Roman"/>
                <w:b/>
                <w:bCs/>
                <w:color w:val="FFFFFF"/>
              </w:rPr>
            </w:pPr>
            <w:r w:rsidRPr="00551045">
              <w:rPr>
                <w:rFonts w:ascii="Calibri" w:eastAsia="Times New Roman" w:hAnsi="Calibri" w:cs="Times New Roman"/>
                <w:b/>
                <w:bCs/>
                <w:color w:val="FFFFFF"/>
              </w:rPr>
              <w:t>Percentage of Children in Foster Care by Placement Type</w:t>
            </w:r>
          </w:p>
        </w:tc>
      </w:tr>
      <w:tr w:rsidR="003A616C" w:rsidRPr="00551045" w14:paraId="72953B37" w14:textId="77777777" w:rsidTr="00EE1DCA">
        <w:trPr>
          <w:trHeight w:val="315"/>
        </w:trPr>
        <w:tc>
          <w:tcPr>
            <w:tcW w:w="3319" w:type="dxa"/>
            <w:tcBorders>
              <w:top w:val="nil"/>
              <w:left w:val="single" w:sz="8" w:space="0" w:color="auto"/>
              <w:bottom w:val="single" w:sz="8" w:space="0" w:color="auto"/>
              <w:right w:val="single" w:sz="8" w:space="0" w:color="auto"/>
            </w:tcBorders>
            <w:shd w:val="clear" w:color="auto" w:fill="auto"/>
            <w:noWrap/>
            <w:vAlign w:val="bottom"/>
            <w:hideMark/>
          </w:tcPr>
          <w:p w14:paraId="560B5EE1" w14:textId="77777777" w:rsidR="003A616C" w:rsidRPr="00551045" w:rsidRDefault="003A616C" w:rsidP="00EE1DCA">
            <w:pPr>
              <w:spacing w:after="0" w:line="240" w:lineRule="auto"/>
              <w:jc w:val="center"/>
              <w:rPr>
                <w:rFonts w:ascii="Calibri" w:eastAsia="Times New Roman" w:hAnsi="Calibri" w:cs="Times New Roman"/>
                <w:b/>
                <w:bCs/>
                <w:color w:val="000000"/>
              </w:rPr>
            </w:pPr>
            <w:r w:rsidRPr="00551045">
              <w:rPr>
                <w:rFonts w:ascii="Calibri" w:eastAsia="Times New Roman" w:hAnsi="Calibri" w:cs="Times New Roman"/>
                <w:b/>
                <w:bCs/>
                <w:color w:val="000000"/>
              </w:rPr>
              <w:t>Placement Type</w:t>
            </w:r>
          </w:p>
        </w:tc>
        <w:tc>
          <w:tcPr>
            <w:tcW w:w="889" w:type="dxa"/>
            <w:tcBorders>
              <w:top w:val="nil"/>
              <w:left w:val="nil"/>
              <w:bottom w:val="single" w:sz="8" w:space="0" w:color="auto"/>
              <w:right w:val="single" w:sz="4" w:space="0" w:color="auto"/>
            </w:tcBorders>
            <w:shd w:val="clear" w:color="auto" w:fill="auto"/>
            <w:noWrap/>
            <w:vAlign w:val="bottom"/>
            <w:hideMark/>
          </w:tcPr>
          <w:p w14:paraId="0D43BB41" w14:textId="77777777" w:rsidR="003A616C" w:rsidRPr="00551045" w:rsidRDefault="003A616C" w:rsidP="00EE1DCA">
            <w:pPr>
              <w:spacing w:after="0" w:line="240" w:lineRule="auto"/>
              <w:jc w:val="center"/>
              <w:rPr>
                <w:rFonts w:ascii="Calibri" w:eastAsia="Times New Roman" w:hAnsi="Calibri" w:cs="Times New Roman"/>
                <w:b/>
                <w:bCs/>
                <w:color w:val="000000"/>
              </w:rPr>
            </w:pPr>
            <w:r w:rsidRPr="00551045">
              <w:rPr>
                <w:rFonts w:ascii="Calibri" w:eastAsia="Times New Roman" w:hAnsi="Calibri" w:cs="Times New Roman"/>
                <w:b/>
                <w:bCs/>
                <w:color w:val="000000"/>
              </w:rPr>
              <w:t>SFY 2011</w:t>
            </w:r>
          </w:p>
        </w:tc>
        <w:tc>
          <w:tcPr>
            <w:tcW w:w="888" w:type="dxa"/>
            <w:tcBorders>
              <w:top w:val="nil"/>
              <w:left w:val="nil"/>
              <w:bottom w:val="single" w:sz="8" w:space="0" w:color="auto"/>
              <w:right w:val="single" w:sz="4" w:space="0" w:color="auto"/>
            </w:tcBorders>
            <w:shd w:val="clear" w:color="auto" w:fill="auto"/>
            <w:noWrap/>
            <w:vAlign w:val="bottom"/>
            <w:hideMark/>
          </w:tcPr>
          <w:p w14:paraId="7A735419" w14:textId="77777777" w:rsidR="003A616C" w:rsidRPr="00551045" w:rsidRDefault="003A616C" w:rsidP="00EE1DCA">
            <w:pPr>
              <w:spacing w:after="0" w:line="240" w:lineRule="auto"/>
              <w:jc w:val="center"/>
              <w:rPr>
                <w:rFonts w:ascii="Calibri" w:eastAsia="Times New Roman" w:hAnsi="Calibri" w:cs="Times New Roman"/>
                <w:b/>
                <w:bCs/>
                <w:color w:val="000000"/>
              </w:rPr>
            </w:pPr>
            <w:r w:rsidRPr="00551045">
              <w:rPr>
                <w:rFonts w:ascii="Calibri" w:eastAsia="Times New Roman" w:hAnsi="Calibri" w:cs="Times New Roman"/>
                <w:b/>
                <w:bCs/>
                <w:color w:val="000000"/>
              </w:rPr>
              <w:t>SFY 2012</w:t>
            </w:r>
          </w:p>
        </w:tc>
        <w:tc>
          <w:tcPr>
            <w:tcW w:w="888" w:type="dxa"/>
            <w:tcBorders>
              <w:top w:val="nil"/>
              <w:left w:val="nil"/>
              <w:bottom w:val="single" w:sz="8" w:space="0" w:color="auto"/>
              <w:right w:val="single" w:sz="4" w:space="0" w:color="auto"/>
            </w:tcBorders>
            <w:shd w:val="clear" w:color="auto" w:fill="auto"/>
            <w:noWrap/>
            <w:vAlign w:val="bottom"/>
            <w:hideMark/>
          </w:tcPr>
          <w:p w14:paraId="356E38B8" w14:textId="77777777" w:rsidR="003A616C" w:rsidRPr="00551045" w:rsidRDefault="003A616C" w:rsidP="00EE1DCA">
            <w:pPr>
              <w:spacing w:after="0" w:line="240" w:lineRule="auto"/>
              <w:jc w:val="center"/>
              <w:rPr>
                <w:rFonts w:ascii="Calibri" w:eastAsia="Times New Roman" w:hAnsi="Calibri" w:cs="Times New Roman"/>
                <w:b/>
                <w:bCs/>
                <w:color w:val="000000"/>
              </w:rPr>
            </w:pPr>
            <w:r w:rsidRPr="00551045">
              <w:rPr>
                <w:rFonts w:ascii="Calibri" w:eastAsia="Times New Roman" w:hAnsi="Calibri" w:cs="Times New Roman"/>
                <w:b/>
                <w:bCs/>
                <w:color w:val="000000"/>
              </w:rPr>
              <w:t>SFY 2013</w:t>
            </w:r>
          </w:p>
        </w:tc>
        <w:tc>
          <w:tcPr>
            <w:tcW w:w="888" w:type="dxa"/>
            <w:tcBorders>
              <w:top w:val="nil"/>
              <w:left w:val="nil"/>
              <w:bottom w:val="single" w:sz="8" w:space="0" w:color="auto"/>
              <w:right w:val="single" w:sz="4" w:space="0" w:color="auto"/>
            </w:tcBorders>
            <w:shd w:val="clear" w:color="auto" w:fill="auto"/>
            <w:noWrap/>
            <w:vAlign w:val="bottom"/>
            <w:hideMark/>
          </w:tcPr>
          <w:p w14:paraId="6082CB93" w14:textId="77777777" w:rsidR="003A616C" w:rsidRPr="00551045" w:rsidRDefault="003A616C" w:rsidP="00EE1DCA">
            <w:pPr>
              <w:spacing w:after="0" w:line="240" w:lineRule="auto"/>
              <w:jc w:val="center"/>
              <w:rPr>
                <w:rFonts w:ascii="Calibri" w:eastAsia="Times New Roman" w:hAnsi="Calibri" w:cs="Times New Roman"/>
                <w:b/>
                <w:bCs/>
                <w:color w:val="000000"/>
              </w:rPr>
            </w:pPr>
            <w:r w:rsidRPr="00551045">
              <w:rPr>
                <w:rFonts w:ascii="Calibri" w:eastAsia="Times New Roman" w:hAnsi="Calibri" w:cs="Times New Roman"/>
                <w:b/>
                <w:bCs/>
                <w:color w:val="000000"/>
              </w:rPr>
              <w:t>SFY 2014</w:t>
            </w:r>
          </w:p>
        </w:tc>
        <w:tc>
          <w:tcPr>
            <w:tcW w:w="888" w:type="dxa"/>
            <w:tcBorders>
              <w:top w:val="nil"/>
              <w:left w:val="nil"/>
              <w:bottom w:val="single" w:sz="8" w:space="0" w:color="auto"/>
              <w:right w:val="single" w:sz="8" w:space="0" w:color="auto"/>
            </w:tcBorders>
            <w:shd w:val="clear" w:color="auto" w:fill="auto"/>
            <w:noWrap/>
            <w:vAlign w:val="bottom"/>
            <w:hideMark/>
          </w:tcPr>
          <w:p w14:paraId="14C8B35A" w14:textId="77777777" w:rsidR="003A616C" w:rsidRPr="00551045" w:rsidRDefault="003A616C" w:rsidP="00EE1DCA">
            <w:pPr>
              <w:spacing w:after="0" w:line="240" w:lineRule="auto"/>
              <w:jc w:val="center"/>
              <w:rPr>
                <w:rFonts w:ascii="Calibri" w:eastAsia="Times New Roman" w:hAnsi="Calibri" w:cs="Times New Roman"/>
                <w:b/>
                <w:bCs/>
                <w:color w:val="000000"/>
              </w:rPr>
            </w:pPr>
            <w:r w:rsidRPr="00551045">
              <w:rPr>
                <w:rFonts w:ascii="Calibri" w:eastAsia="Times New Roman" w:hAnsi="Calibri" w:cs="Times New Roman"/>
                <w:b/>
                <w:bCs/>
                <w:color w:val="000000"/>
              </w:rPr>
              <w:t>SFY 2015</w:t>
            </w:r>
          </w:p>
        </w:tc>
      </w:tr>
      <w:tr w:rsidR="003A616C" w:rsidRPr="00551045" w14:paraId="4382C1F0" w14:textId="77777777" w:rsidTr="00EE1DCA">
        <w:trPr>
          <w:trHeight w:val="300"/>
        </w:trPr>
        <w:tc>
          <w:tcPr>
            <w:tcW w:w="3319" w:type="dxa"/>
            <w:tcBorders>
              <w:top w:val="nil"/>
              <w:left w:val="single" w:sz="8" w:space="0" w:color="auto"/>
              <w:bottom w:val="single" w:sz="4" w:space="0" w:color="auto"/>
              <w:right w:val="single" w:sz="8" w:space="0" w:color="auto"/>
            </w:tcBorders>
            <w:shd w:val="clear" w:color="auto" w:fill="auto"/>
            <w:vAlign w:val="center"/>
            <w:hideMark/>
          </w:tcPr>
          <w:p w14:paraId="620D9DAC" w14:textId="77777777" w:rsidR="003A616C" w:rsidRPr="00551045" w:rsidRDefault="003A616C" w:rsidP="00EE1DCA">
            <w:pPr>
              <w:spacing w:after="0" w:line="240" w:lineRule="auto"/>
              <w:rPr>
                <w:rFonts w:ascii="Arial" w:eastAsia="Times New Roman" w:hAnsi="Arial" w:cs="Arial"/>
                <w:color w:val="000000"/>
                <w:sz w:val="20"/>
                <w:szCs w:val="20"/>
              </w:rPr>
            </w:pPr>
            <w:r w:rsidRPr="00551045">
              <w:rPr>
                <w:rFonts w:ascii="Arial" w:eastAsia="Times New Roman" w:hAnsi="Arial" w:cs="Arial"/>
                <w:color w:val="000000"/>
                <w:sz w:val="20"/>
                <w:szCs w:val="20"/>
              </w:rPr>
              <w:t xml:space="preserve">DCFS Foster Home (Non-Relative) </w:t>
            </w:r>
          </w:p>
        </w:tc>
        <w:tc>
          <w:tcPr>
            <w:tcW w:w="889" w:type="dxa"/>
            <w:tcBorders>
              <w:top w:val="nil"/>
              <w:left w:val="nil"/>
              <w:bottom w:val="single" w:sz="4" w:space="0" w:color="auto"/>
              <w:right w:val="single" w:sz="4" w:space="0" w:color="auto"/>
            </w:tcBorders>
            <w:shd w:val="clear" w:color="auto" w:fill="auto"/>
            <w:noWrap/>
            <w:vAlign w:val="bottom"/>
            <w:hideMark/>
          </w:tcPr>
          <w:p w14:paraId="3F66B084"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43%</w:t>
            </w:r>
          </w:p>
        </w:tc>
        <w:tc>
          <w:tcPr>
            <w:tcW w:w="888" w:type="dxa"/>
            <w:tcBorders>
              <w:top w:val="nil"/>
              <w:left w:val="nil"/>
              <w:bottom w:val="single" w:sz="4" w:space="0" w:color="auto"/>
              <w:right w:val="single" w:sz="4" w:space="0" w:color="auto"/>
            </w:tcBorders>
            <w:shd w:val="clear" w:color="auto" w:fill="auto"/>
            <w:noWrap/>
            <w:vAlign w:val="bottom"/>
            <w:hideMark/>
          </w:tcPr>
          <w:p w14:paraId="618E9A68"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40%</w:t>
            </w:r>
          </w:p>
        </w:tc>
        <w:tc>
          <w:tcPr>
            <w:tcW w:w="888" w:type="dxa"/>
            <w:tcBorders>
              <w:top w:val="nil"/>
              <w:left w:val="nil"/>
              <w:bottom w:val="single" w:sz="4" w:space="0" w:color="auto"/>
              <w:right w:val="single" w:sz="4" w:space="0" w:color="auto"/>
            </w:tcBorders>
            <w:shd w:val="clear" w:color="auto" w:fill="auto"/>
            <w:noWrap/>
            <w:vAlign w:val="bottom"/>
            <w:hideMark/>
          </w:tcPr>
          <w:p w14:paraId="36C67B8C"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38%</w:t>
            </w:r>
          </w:p>
        </w:tc>
        <w:tc>
          <w:tcPr>
            <w:tcW w:w="888" w:type="dxa"/>
            <w:tcBorders>
              <w:top w:val="nil"/>
              <w:left w:val="nil"/>
              <w:bottom w:val="single" w:sz="4" w:space="0" w:color="auto"/>
              <w:right w:val="single" w:sz="4" w:space="0" w:color="auto"/>
            </w:tcBorders>
            <w:shd w:val="clear" w:color="auto" w:fill="auto"/>
            <w:noWrap/>
            <w:vAlign w:val="bottom"/>
            <w:hideMark/>
          </w:tcPr>
          <w:p w14:paraId="777E75AF"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37%</w:t>
            </w:r>
          </w:p>
        </w:tc>
        <w:tc>
          <w:tcPr>
            <w:tcW w:w="888" w:type="dxa"/>
            <w:tcBorders>
              <w:top w:val="nil"/>
              <w:left w:val="nil"/>
              <w:bottom w:val="single" w:sz="4" w:space="0" w:color="auto"/>
              <w:right w:val="single" w:sz="8" w:space="0" w:color="auto"/>
            </w:tcBorders>
            <w:shd w:val="clear" w:color="auto" w:fill="auto"/>
            <w:noWrap/>
            <w:vAlign w:val="bottom"/>
            <w:hideMark/>
          </w:tcPr>
          <w:p w14:paraId="4975B3E2"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36%</w:t>
            </w:r>
          </w:p>
        </w:tc>
      </w:tr>
      <w:tr w:rsidR="003A616C" w:rsidRPr="00551045" w14:paraId="76CFA4FD" w14:textId="77777777" w:rsidTr="00EE1DCA">
        <w:trPr>
          <w:trHeight w:val="300"/>
        </w:trPr>
        <w:tc>
          <w:tcPr>
            <w:tcW w:w="3319" w:type="dxa"/>
            <w:tcBorders>
              <w:top w:val="nil"/>
              <w:left w:val="single" w:sz="8" w:space="0" w:color="auto"/>
              <w:bottom w:val="single" w:sz="4" w:space="0" w:color="auto"/>
              <w:right w:val="single" w:sz="8" w:space="0" w:color="auto"/>
            </w:tcBorders>
            <w:shd w:val="clear" w:color="auto" w:fill="auto"/>
            <w:vAlign w:val="center"/>
            <w:hideMark/>
          </w:tcPr>
          <w:p w14:paraId="0A56F00E" w14:textId="77777777" w:rsidR="003A616C" w:rsidRPr="00551045" w:rsidRDefault="003A616C" w:rsidP="00EE1DCA">
            <w:pPr>
              <w:spacing w:after="0" w:line="240" w:lineRule="auto"/>
              <w:rPr>
                <w:rFonts w:ascii="Arial" w:eastAsia="Times New Roman" w:hAnsi="Arial" w:cs="Arial"/>
                <w:color w:val="000000"/>
                <w:sz w:val="20"/>
                <w:szCs w:val="20"/>
              </w:rPr>
            </w:pPr>
            <w:r w:rsidRPr="00551045">
              <w:rPr>
                <w:rFonts w:ascii="Arial" w:eastAsia="Times New Roman" w:hAnsi="Arial" w:cs="Arial"/>
                <w:color w:val="000000"/>
                <w:sz w:val="20"/>
                <w:szCs w:val="20"/>
              </w:rPr>
              <w:t xml:space="preserve">DCFS Foster Home (Relative) </w:t>
            </w:r>
          </w:p>
        </w:tc>
        <w:tc>
          <w:tcPr>
            <w:tcW w:w="889" w:type="dxa"/>
            <w:tcBorders>
              <w:top w:val="nil"/>
              <w:left w:val="nil"/>
              <w:bottom w:val="single" w:sz="4" w:space="0" w:color="auto"/>
              <w:right w:val="single" w:sz="4" w:space="0" w:color="auto"/>
            </w:tcBorders>
            <w:shd w:val="clear" w:color="auto" w:fill="auto"/>
            <w:noWrap/>
            <w:vAlign w:val="bottom"/>
            <w:hideMark/>
          </w:tcPr>
          <w:p w14:paraId="4443F0B9"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7%</w:t>
            </w:r>
          </w:p>
        </w:tc>
        <w:tc>
          <w:tcPr>
            <w:tcW w:w="888" w:type="dxa"/>
            <w:tcBorders>
              <w:top w:val="nil"/>
              <w:left w:val="nil"/>
              <w:bottom w:val="single" w:sz="4" w:space="0" w:color="auto"/>
              <w:right w:val="single" w:sz="4" w:space="0" w:color="auto"/>
            </w:tcBorders>
            <w:shd w:val="clear" w:color="auto" w:fill="auto"/>
            <w:noWrap/>
            <w:vAlign w:val="bottom"/>
            <w:hideMark/>
          </w:tcPr>
          <w:p w14:paraId="7D76C66A"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8%</w:t>
            </w:r>
          </w:p>
        </w:tc>
        <w:tc>
          <w:tcPr>
            <w:tcW w:w="888" w:type="dxa"/>
            <w:tcBorders>
              <w:top w:val="nil"/>
              <w:left w:val="nil"/>
              <w:bottom w:val="single" w:sz="4" w:space="0" w:color="auto"/>
              <w:right w:val="single" w:sz="4" w:space="0" w:color="auto"/>
            </w:tcBorders>
            <w:shd w:val="clear" w:color="auto" w:fill="auto"/>
            <w:noWrap/>
            <w:vAlign w:val="bottom"/>
            <w:hideMark/>
          </w:tcPr>
          <w:p w14:paraId="50A6CF36"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8%</w:t>
            </w:r>
          </w:p>
        </w:tc>
        <w:tc>
          <w:tcPr>
            <w:tcW w:w="888" w:type="dxa"/>
            <w:tcBorders>
              <w:top w:val="nil"/>
              <w:left w:val="nil"/>
              <w:bottom w:val="single" w:sz="4" w:space="0" w:color="auto"/>
              <w:right w:val="single" w:sz="4" w:space="0" w:color="auto"/>
            </w:tcBorders>
            <w:shd w:val="clear" w:color="auto" w:fill="auto"/>
            <w:noWrap/>
            <w:vAlign w:val="bottom"/>
            <w:hideMark/>
          </w:tcPr>
          <w:p w14:paraId="2A682A74"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8%</w:t>
            </w:r>
          </w:p>
        </w:tc>
        <w:tc>
          <w:tcPr>
            <w:tcW w:w="888" w:type="dxa"/>
            <w:tcBorders>
              <w:top w:val="nil"/>
              <w:left w:val="nil"/>
              <w:bottom w:val="single" w:sz="4" w:space="0" w:color="auto"/>
              <w:right w:val="single" w:sz="8" w:space="0" w:color="auto"/>
            </w:tcBorders>
            <w:shd w:val="clear" w:color="auto" w:fill="auto"/>
            <w:noWrap/>
            <w:vAlign w:val="bottom"/>
            <w:hideMark/>
          </w:tcPr>
          <w:p w14:paraId="793163D4"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8%</w:t>
            </w:r>
          </w:p>
        </w:tc>
      </w:tr>
      <w:tr w:rsidR="003A616C" w:rsidRPr="00551045" w14:paraId="268F99E7" w14:textId="77777777" w:rsidTr="00EE1DCA">
        <w:trPr>
          <w:trHeight w:val="300"/>
        </w:trPr>
        <w:tc>
          <w:tcPr>
            <w:tcW w:w="3319" w:type="dxa"/>
            <w:tcBorders>
              <w:top w:val="nil"/>
              <w:left w:val="single" w:sz="8" w:space="0" w:color="auto"/>
              <w:bottom w:val="single" w:sz="4" w:space="0" w:color="auto"/>
              <w:right w:val="single" w:sz="8" w:space="0" w:color="auto"/>
            </w:tcBorders>
            <w:shd w:val="clear" w:color="auto" w:fill="auto"/>
            <w:vAlign w:val="center"/>
            <w:hideMark/>
          </w:tcPr>
          <w:p w14:paraId="16F96A2F" w14:textId="77777777" w:rsidR="003A616C" w:rsidRPr="00551045" w:rsidRDefault="003A616C" w:rsidP="00EE1DCA">
            <w:pPr>
              <w:spacing w:after="0" w:line="240" w:lineRule="auto"/>
              <w:rPr>
                <w:rFonts w:ascii="Arial" w:eastAsia="Times New Roman" w:hAnsi="Arial" w:cs="Arial"/>
                <w:color w:val="000000"/>
                <w:sz w:val="20"/>
                <w:szCs w:val="20"/>
              </w:rPr>
            </w:pPr>
            <w:r w:rsidRPr="00551045">
              <w:rPr>
                <w:rFonts w:ascii="Arial" w:eastAsia="Times New Roman" w:hAnsi="Arial" w:cs="Arial"/>
                <w:color w:val="000000"/>
                <w:sz w:val="20"/>
                <w:szCs w:val="20"/>
              </w:rPr>
              <w:t xml:space="preserve">Provisional Relative Care </w:t>
            </w:r>
          </w:p>
        </w:tc>
        <w:tc>
          <w:tcPr>
            <w:tcW w:w="889" w:type="dxa"/>
            <w:tcBorders>
              <w:top w:val="nil"/>
              <w:left w:val="nil"/>
              <w:bottom w:val="single" w:sz="4" w:space="0" w:color="auto"/>
              <w:right w:val="single" w:sz="4" w:space="0" w:color="auto"/>
            </w:tcBorders>
            <w:shd w:val="clear" w:color="auto" w:fill="auto"/>
            <w:noWrap/>
            <w:vAlign w:val="bottom"/>
            <w:hideMark/>
          </w:tcPr>
          <w:p w14:paraId="796B52AE"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6%</w:t>
            </w:r>
          </w:p>
        </w:tc>
        <w:tc>
          <w:tcPr>
            <w:tcW w:w="888" w:type="dxa"/>
            <w:tcBorders>
              <w:top w:val="nil"/>
              <w:left w:val="nil"/>
              <w:bottom w:val="single" w:sz="4" w:space="0" w:color="auto"/>
              <w:right w:val="single" w:sz="4" w:space="0" w:color="auto"/>
            </w:tcBorders>
            <w:shd w:val="clear" w:color="auto" w:fill="auto"/>
            <w:noWrap/>
            <w:vAlign w:val="bottom"/>
            <w:hideMark/>
          </w:tcPr>
          <w:p w14:paraId="254FD399"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8%</w:t>
            </w:r>
          </w:p>
        </w:tc>
        <w:tc>
          <w:tcPr>
            <w:tcW w:w="888" w:type="dxa"/>
            <w:tcBorders>
              <w:top w:val="nil"/>
              <w:left w:val="nil"/>
              <w:bottom w:val="single" w:sz="4" w:space="0" w:color="auto"/>
              <w:right w:val="single" w:sz="4" w:space="0" w:color="auto"/>
            </w:tcBorders>
            <w:shd w:val="clear" w:color="auto" w:fill="auto"/>
            <w:noWrap/>
            <w:vAlign w:val="bottom"/>
            <w:hideMark/>
          </w:tcPr>
          <w:p w14:paraId="02756E20"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6%</w:t>
            </w:r>
          </w:p>
        </w:tc>
        <w:tc>
          <w:tcPr>
            <w:tcW w:w="888" w:type="dxa"/>
            <w:tcBorders>
              <w:top w:val="nil"/>
              <w:left w:val="nil"/>
              <w:bottom w:val="single" w:sz="4" w:space="0" w:color="auto"/>
              <w:right w:val="single" w:sz="4" w:space="0" w:color="auto"/>
            </w:tcBorders>
            <w:shd w:val="clear" w:color="auto" w:fill="auto"/>
            <w:noWrap/>
            <w:vAlign w:val="bottom"/>
            <w:hideMark/>
          </w:tcPr>
          <w:p w14:paraId="6E0E776C"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6%</w:t>
            </w:r>
          </w:p>
        </w:tc>
        <w:tc>
          <w:tcPr>
            <w:tcW w:w="888" w:type="dxa"/>
            <w:tcBorders>
              <w:top w:val="nil"/>
              <w:left w:val="nil"/>
              <w:bottom w:val="single" w:sz="4" w:space="0" w:color="auto"/>
              <w:right w:val="single" w:sz="8" w:space="0" w:color="auto"/>
            </w:tcBorders>
            <w:shd w:val="clear" w:color="auto" w:fill="auto"/>
            <w:noWrap/>
            <w:vAlign w:val="bottom"/>
            <w:hideMark/>
          </w:tcPr>
          <w:p w14:paraId="3C08541C"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6%</w:t>
            </w:r>
          </w:p>
        </w:tc>
      </w:tr>
      <w:tr w:rsidR="003A616C" w:rsidRPr="00551045" w14:paraId="0BAA3C14" w14:textId="77777777" w:rsidTr="00EE1DCA">
        <w:trPr>
          <w:trHeight w:val="300"/>
        </w:trPr>
        <w:tc>
          <w:tcPr>
            <w:tcW w:w="3319" w:type="dxa"/>
            <w:tcBorders>
              <w:top w:val="nil"/>
              <w:left w:val="single" w:sz="8" w:space="0" w:color="auto"/>
              <w:bottom w:val="single" w:sz="4" w:space="0" w:color="auto"/>
              <w:right w:val="single" w:sz="8" w:space="0" w:color="auto"/>
            </w:tcBorders>
            <w:shd w:val="clear" w:color="auto" w:fill="auto"/>
            <w:vAlign w:val="center"/>
            <w:hideMark/>
          </w:tcPr>
          <w:p w14:paraId="6E1003B0" w14:textId="77777777" w:rsidR="003A616C" w:rsidRPr="00551045" w:rsidRDefault="003A616C" w:rsidP="00EE1DCA">
            <w:pPr>
              <w:spacing w:after="0" w:line="240" w:lineRule="auto"/>
              <w:rPr>
                <w:rFonts w:ascii="Arial" w:eastAsia="Times New Roman" w:hAnsi="Arial" w:cs="Arial"/>
                <w:color w:val="000000"/>
                <w:sz w:val="20"/>
                <w:szCs w:val="20"/>
              </w:rPr>
            </w:pPr>
            <w:r w:rsidRPr="00551045">
              <w:rPr>
                <w:rFonts w:ascii="Arial" w:eastAsia="Times New Roman" w:hAnsi="Arial" w:cs="Arial"/>
                <w:color w:val="000000"/>
                <w:sz w:val="20"/>
                <w:szCs w:val="20"/>
              </w:rPr>
              <w:t xml:space="preserve">Therapeutic Foster Home </w:t>
            </w:r>
          </w:p>
        </w:tc>
        <w:tc>
          <w:tcPr>
            <w:tcW w:w="889" w:type="dxa"/>
            <w:tcBorders>
              <w:top w:val="nil"/>
              <w:left w:val="nil"/>
              <w:bottom w:val="single" w:sz="4" w:space="0" w:color="auto"/>
              <w:right w:val="single" w:sz="4" w:space="0" w:color="auto"/>
            </w:tcBorders>
            <w:shd w:val="clear" w:color="auto" w:fill="auto"/>
            <w:noWrap/>
            <w:vAlign w:val="bottom"/>
            <w:hideMark/>
          </w:tcPr>
          <w:p w14:paraId="776A6FCB"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7%</w:t>
            </w:r>
          </w:p>
        </w:tc>
        <w:tc>
          <w:tcPr>
            <w:tcW w:w="888" w:type="dxa"/>
            <w:tcBorders>
              <w:top w:val="nil"/>
              <w:left w:val="nil"/>
              <w:bottom w:val="single" w:sz="4" w:space="0" w:color="auto"/>
              <w:right w:val="single" w:sz="4" w:space="0" w:color="auto"/>
            </w:tcBorders>
            <w:shd w:val="clear" w:color="auto" w:fill="auto"/>
            <w:noWrap/>
            <w:vAlign w:val="bottom"/>
            <w:hideMark/>
          </w:tcPr>
          <w:p w14:paraId="494FBE80"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7%</w:t>
            </w:r>
          </w:p>
        </w:tc>
        <w:tc>
          <w:tcPr>
            <w:tcW w:w="888" w:type="dxa"/>
            <w:tcBorders>
              <w:top w:val="nil"/>
              <w:left w:val="nil"/>
              <w:bottom w:val="single" w:sz="4" w:space="0" w:color="auto"/>
              <w:right w:val="single" w:sz="4" w:space="0" w:color="auto"/>
            </w:tcBorders>
            <w:shd w:val="clear" w:color="auto" w:fill="auto"/>
            <w:noWrap/>
            <w:vAlign w:val="bottom"/>
            <w:hideMark/>
          </w:tcPr>
          <w:p w14:paraId="134C02CE"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7%</w:t>
            </w:r>
          </w:p>
        </w:tc>
        <w:tc>
          <w:tcPr>
            <w:tcW w:w="888" w:type="dxa"/>
            <w:tcBorders>
              <w:top w:val="nil"/>
              <w:left w:val="nil"/>
              <w:bottom w:val="single" w:sz="4" w:space="0" w:color="auto"/>
              <w:right w:val="single" w:sz="4" w:space="0" w:color="auto"/>
            </w:tcBorders>
            <w:shd w:val="clear" w:color="auto" w:fill="auto"/>
            <w:noWrap/>
            <w:vAlign w:val="bottom"/>
            <w:hideMark/>
          </w:tcPr>
          <w:p w14:paraId="66144531"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7%</w:t>
            </w:r>
          </w:p>
        </w:tc>
        <w:tc>
          <w:tcPr>
            <w:tcW w:w="888" w:type="dxa"/>
            <w:tcBorders>
              <w:top w:val="nil"/>
              <w:left w:val="nil"/>
              <w:bottom w:val="single" w:sz="4" w:space="0" w:color="auto"/>
              <w:right w:val="single" w:sz="8" w:space="0" w:color="auto"/>
            </w:tcBorders>
            <w:shd w:val="clear" w:color="auto" w:fill="auto"/>
            <w:noWrap/>
            <w:vAlign w:val="bottom"/>
            <w:hideMark/>
          </w:tcPr>
          <w:p w14:paraId="32AF5705"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8%</w:t>
            </w:r>
          </w:p>
        </w:tc>
      </w:tr>
      <w:tr w:rsidR="003A616C" w:rsidRPr="00551045" w14:paraId="18363694" w14:textId="77777777" w:rsidTr="00EE1DCA">
        <w:trPr>
          <w:trHeight w:val="300"/>
        </w:trPr>
        <w:tc>
          <w:tcPr>
            <w:tcW w:w="3319" w:type="dxa"/>
            <w:tcBorders>
              <w:top w:val="nil"/>
              <w:left w:val="single" w:sz="8" w:space="0" w:color="auto"/>
              <w:bottom w:val="single" w:sz="4" w:space="0" w:color="auto"/>
              <w:right w:val="single" w:sz="8" w:space="0" w:color="auto"/>
            </w:tcBorders>
            <w:shd w:val="clear" w:color="auto" w:fill="auto"/>
            <w:vAlign w:val="center"/>
            <w:hideMark/>
          </w:tcPr>
          <w:p w14:paraId="1CCF75E7" w14:textId="77777777" w:rsidR="003A616C" w:rsidRPr="00551045" w:rsidRDefault="003A616C" w:rsidP="00EE1DCA">
            <w:pPr>
              <w:spacing w:after="0" w:line="240" w:lineRule="auto"/>
              <w:rPr>
                <w:rFonts w:ascii="Arial" w:eastAsia="Times New Roman" w:hAnsi="Arial" w:cs="Arial"/>
                <w:color w:val="000000"/>
                <w:sz w:val="20"/>
                <w:szCs w:val="20"/>
              </w:rPr>
            </w:pPr>
            <w:r w:rsidRPr="00551045">
              <w:rPr>
                <w:rFonts w:ascii="Arial" w:eastAsia="Times New Roman" w:hAnsi="Arial" w:cs="Arial"/>
                <w:color w:val="000000"/>
                <w:sz w:val="20"/>
                <w:szCs w:val="20"/>
              </w:rPr>
              <w:t>Pre-Adoptive Home</w:t>
            </w:r>
          </w:p>
        </w:tc>
        <w:tc>
          <w:tcPr>
            <w:tcW w:w="889" w:type="dxa"/>
            <w:tcBorders>
              <w:top w:val="nil"/>
              <w:left w:val="nil"/>
              <w:bottom w:val="single" w:sz="4" w:space="0" w:color="auto"/>
              <w:right w:val="single" w:sz="4" w:space="0" w:color="auto"/>
            </w:tcBorders>
            <w:shd w:val="clear" w:color="auto" w:fill="auto"/>
            <w:noWrap/>
            <w:vAlign w:val="bottom"/>
            <w:hideMark/>
          </w:tcPr>
          <w:p w14:paraId="5DEADFF4"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5%</w:t>
            </w:r>
          </w:p>
        </w:tc>
        <w:tc>
          <w:tcPr>
            <w:tcW w:w="888" w:type="dxa"/>
            <w:tcBorders>
              <w:top w:val="nil"/>
              <w:left w:val="nil"/>
              <w:bottom w:val="single" w:sz="4" w:space="0" w:color="auto"/>
              <w:right w:val="single" w:sz="4" w:space="0" w:color="auto"/>
            </w:tcBorders>
            <w:shd w:val="clear" w:color="auto" w:fill="auto"/>
            <w:noWrap/>
            <w:vAlign w:val="bottom"/>
            <w:hideMark/>
          </w:tcPr>
          <w:p w14:paraId="169E86F5"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5%</w:t>
            </w:r>
          </w:p>
        </w:tc>
        <w:tc>
          <w:tcPr>
            <w:tcW w:w="888" w:type="dxa"/>
            <w:tcBorders>
              <w:top w:val="nil"/>
              <w:left w:val="nil"/>
              <w:bottom w:val="single" w:sz="4" w:space="0" w:color="auto"/>
              <w:right w:val="single" w:sz="4" w:space="0" w:color="auto"/>
            </w:tcBorders>
            <w:shd w:val="clear" w:color="auto" w:fill="auto"/>
            <w:noWrap/>
            <w:vAlign w:val="bottom"/>
            <w:hideMark/>
          </w:tcPr>
          <w:p w14:paraId="5AAC2D62"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4%</w:t>
            </w:r>
          </w:p>
        </w:tc>
        <w:tc>
          <w:tcPr>
            <w:tcW w:w="888" w:type="dxa"/>
            <w:tcBorders>
              <w:top w:val="nil"/>
              <w:left w:val="nil"/>
              <w:bottom w:val="single" w:sz="4" w:space="0" w:color="auto"/>
              <w:right w:val="single" w:sz="4" w:space="0" w:color="auto"/>
            </w:tcBorders>
            <w:shd w:val="clear" w:color="auto" w:fill="auto"/>
            <w:noWrap/>
            <w:vAlign w:val="center"/>
            <w:hideMark/>
          </w:tcPr>
          <w:p w14:paraId="1A55F447"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6%</w:t>
            </w:r>
          </w:p>
        </w:tc>
        <w:tc>
          <w:tcPr>
            <w:tcW w:w="888" w:type="dxa"/>
            <w:tcBorders>
              <w:top w:val="nil"/>
              <w:left w:val="nil"/>
              <w:bottom w:val="single" w:sz="4" w:space="0" w:color="auto"/>
              <w:right w:val="single" w:sz="8" w:space="0" w:color="auto"/>
            </w:tcBorders>
            <w:shd w:val="clear" w:color="auto" w:fill="auto"/>
            <w:noWrap/>
            <w:vAlign w:val="center"/>
            <w:hideMark/>
          </w:tcPr>
          <w:p w14:paraId="6E88FBF1"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6%</w:t>
            </w:r>
          </w:p>
        </w:tc>
      </w:tr>
      <w:tr w:rsidR="003A616C" w:rsidRPr="00551045" w14:paraId="2316D619" w14:textId="77777777" w:rsidTr="00EE1DCA">
        <w:trPr>
          <w:trHeight w:val="300"/>
        </w:trPr>
        <w:tc>
          <w:tcPr>
            <w:tcW w:w="3319" w:type="dxa"/>
            <w:tcBorders>
              <w:top w:val="nil"/>
              <w:left w:val="single" w:sz="8" w:space="0" w:color="auto"/>
              <w:bottom w:val="single" w:sz="4" w:space="0" w:color="auto"/>
              <w:right w:val="single" w:sz="8" w:space="0" w:color="auto"/>
            </w:tcBorders>
            <w:shd w:val="clear" w:color="auto" w:fill="auto"/>
            <w:vAlign w:val="center"/>
            <w:hideMark/>
          </w:tcPr>
          <w:p w14:paraId="72D88023" w14:textId="77777777" w:rsidR="003A616C" w:rsidRPr="00551045" w:rsidRDefault="003A616C" w:rsidP="00EE1DCA">
            <w:pPr>
              <w:spacing w:after="0" w:line="240" w:lineRule="auto"/>
              <w:rPr>
                <w:rFonts w:ascii="Arial" w:eastAsia="Times New Roman" w:hAnsi="Arial" w:cs="Arial"/>
                <w:color w:val="000000"/>
                <w:sz w:val="20"/>
                <w:szCs w:val="20"/>
              </w:rPr>
            </w:pPr>
            <w:r w:rsidRPr="00551045">
              <w:rPr>
                <w:rFonts w:ascii="Arial" w:eastAsia="Times New Roman" w:hAnsi="Arial" w:cs="Arial"/>
                <w:color w:val="000000"/>
                <w:sz w:val="20"/>
                <w:szCs w:val="20"/>
              </w:rPr>
              <w:t xml:space="preserve">Emergency Shelter </w:t>
            </w:r>
          </w:p>
        </w:tc>
        <w:tc>
          <w:tcPr>
            <w:tcW w:w="889" w:type="dxa"/>
            <w:tcBorders>
              <w:top w:val="nil"/>
              <w:left w:val="nil"/>
              <w:bottom w:val="single" w:sz="4" w:space="0" w:color="auto"/>
              <w:right w:val="single" w:sz="4" w:space="0" w:color="auto"/>
            </w:tcBorders>
            <w:shd w:val="clear" w:color="auto" w:fill="auto"/>
            <w:noWrap/>
            <w:vAlign w:val="bottom"/>
            <w:hideMark/>
          </w:tcPr>
          <w:p w14:paraId="76B8BDA4"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3%</w:t>
            </w:r>
          </w:p>
        </w:tc>
        <w:tc>
          <w:tcPr>
            <w:tcW w:w="888" w:type="dxa"/>
            <w:tcBorders>
              <w:top w:val="nil"/>
              <w:left w:val="nil"/>
              <w:bottom w:val="single" w:sz="4" w:space="0" w:color="auto"/>
              <w:right w:val="single" w:sz="4" w:space="0" w:color="auto"/>
            </w:tcBorders>
            <w:shd w:val="clear" w:color="auto" w:fill="auto"/>
            <w:noWrap/>
            <w:vAlign w:val="bottom"/>
            <w:hideMark/>
          </w:tcPr>
          <w:p w14:paraId="28503165"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4%</w:t>
            </w:r>
          </w:p>
        </w:tc>
        <w:tc>
          <w:tcPr>
            <w:tcW w:w="888" w:type="dxa"/>
            <w:tcBorders>
              <w:top w:val="nil"/>
              <w:left w:val="nil"/>
              <w:bottom w:val="single" w:sz="4" w:space="0" w:color="auto"/>
              <w:right w:val="single" w:sz="4" w:space="0" w:color="auto"/>
            </w:tcBorders>
            <w:shd w:val="clear" w:color="auto" w:fill="auto"/>
            <w:noWrap/>
            <w:vAlign w:val="bottom"/>
            <w:hideMark/>
          </w:tcPr>
          <w:p w14:paraId="2783AA10"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4%</w:t>
            </w:r>
          </w:p>
        </w:tc>
        <w:tc>
          <w:tcPr>
            <w:tcW w:w="888" w:type="dxa"/>
            <w:tcBorders>
              <w:top w:val="nil"/>
              <w:left w:val="nil"/>
              <w:bottom w:val="single" w:sz="4" w:space="0" w:color="auto"/>
              <w:right w:val="single" w:sz="4" w:space="0" w:color="auto"/>
            </w:tcBorders>
            <w:shd w:val="clear" w:color="auto" w:fill="auto"/>
            <w:noWrap/>
            <w:vAlign w:val="bottom"/>
            <w:hideMark/>
          </w:tcPr>
          <w:p w14:paraId="011FEE66"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4%</w:t>
            </w:r>
          </w:p>
        </w:tc>
        <w:tc>
          <w:tcPr>
            <w:tcW w:w="888" w:type="dxa"/>
            <w:tcBorders>
              <w:top w:val="nil"/>
              <w:left w:val="nil"/>
              <w:bottom w:val="single" w:sz="4" w:space="0" w:color="auto"/>
              <w:right w:val="single" w:sz="8" w:space="0" w:color="auto"/>
            </w:tcBorders>
            <w:shd w:val="clear" w:color="auto" w:fill="auto"/>
            <w:noWrap/>
            <w:vAlign w:val="bottom"/>
            <w:hideMark/>
          </w:tcPr>
          <w:p w14:paraId="41097694"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4%</w:t>
            </w:r>
          </w:p>
        </w:tc>
      </w:tr>
      <w:tr w:rsidR="003A616C" w:rsidRPr="00551045" w14:paraId="507E7D26" w14:textId="77777777" w:rsidTr="00EE1DCA">
        <w:trPr>
          <w:trHeight w:val="300"/>
        </w:trPr>
        <w:tc>
          <w:tcPr>
            <w:tcW w:w="3319" w:type="dxa"/>
            <w:tcBorders>
              <w:top w:val="nil"/>
              <w:left w:val="single" w:sz="8" w:space="0" w:color="auto"/>
              <w:bottom w:val="single" w:sz="4" w:space="0" w:color="auto"/>
              <w:right w:val="single" w:sz="8" w:space="0" w:color="auto"/>
            </w:tcBorders>
            <w:shd w:val="clear" w:color="auto" w:fill="auto"/>
            <w:vAlign w:val="center"/>
            <w:hideMark/>
          </w:tcPr>
          <w:p w14:paraId="3E204337" w14:textId="77777777" w:rsidR="003A616C" w:rsidRPr="00551045" w:rsidRDefault="003A616C" w:rsidP="00EE1DCA">
            <w:pPr>
              <w:spacing w:after="0" w:line="240" w:lineRule="auto"/>
              <w:rPr>
                <w:rFonts w:ascii="Arial" w:eastAsia="Times New Roman" w:hAnsi="Arial" w:cs="Arial"/>
                <w:color w:val="000000"/>
                <w:sz w:val="20"/>
                <w:szCs w:val="20"/>
              </w:rPr>
            </w:pPr>
            <w:r w:rsidRPr="00551045">
              <w:rPr>
                <w:rFonts w:ascii="Arial" w:eastAsia="Times New Roman" w:hAnsi="Arial" w:cs="Arial"/>
                <w:color w:val="000000"/>
                <w:sz w:val="20"/>
                <w:szCs w:val="20"/>
              </w:rPr>
              <w:t xml:space="preserve">Residential Facility </w:t>
            </w:r>
          </w:p>
        </w:tc>
        <w:tc>
          <w:tcPr>
            <w:tcW w:w="889" w:type="dxa"/>
            <w:tcBorders>
              <w:top w:val="nil"/>
              <w:left w:val="nil"/>
              <w:bottom w:val="single" w:sz="4" w:space="0" w:color="auto"/>
              <w:right w:val="single" w:sz="4" w:space="0" w:color="auto"/>
            </w:tcBorders>
            <w:shd w:val="clear" w:color="auto" w:fill="auto"/>
            <w:noWrap/>
            <w:vAlign w:val="bottom"/>
            <w:hideMark/>
          </w:tcPr>
          <w:p w14:paraId="76BF6F6A"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10%</w:t>
            </w:r>
          </w:p>
        </w:tc>
        <w:tc>
          <w:tcPr>
            <w:tcW w:w="888" w:type="dxa"/>
            <w:tcBorders>
              <w:top w:val="nil"/>
              <w:left w:val="nil"/>
              <w:bottom w:val="single" w:sz="4" w:space="0" w:color="auto"/>
              <w:right w:val="single" w:sz="4" w:space="0" w:color="auto"/>
            </w:tcBorders>
            <w:shd w:val="clear" w:color="auto" w:fill="auto"/>
            <w:noWrap/>
            <w:vAlign w:val="bottom"/>
            <w:hideMark/>
          </w:tcPr>
          <w:p w14:paraId="29223EEE"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11%</w:t>
            </w:r>
          </w:p>
        </w:tc>
        <w:tc>
          <w:tcPr>
            <w:tcW w:w="888" w:type="dxa"/>
            <w:tcBorders>
              <w:top w:val="nil"/>
              <w:left w:val="nil"/>
              <w:bottom w:val="single" w:sz="4" w:space="0" w:color="auto"/>
              <w:right w:val="single" w:sz="4" w:space="0" w:color="auto"/>
            </w:tcBorders>
            <w:shd w:val="clear" w:color="auto" w:fill="auto"/>
            <w:noWrap/>
            <w:vAlign w:val="bottom"/>
            <w:hideMark/>
          </w:tcPr>
          <w:p w14:paraId="21D4E909"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12%</w:t>
            </w:r>
          </w:p>
        </w:tc>
        <w:tc>
          <w:tcPr>
            <w:tcW w:w="888" w:type="dxa"/>
            <w:tcBorders>
              <w:top w:val="nil"/>
              <w:left w:val="nil"/>
              <w:bottom w:val="single" w:sz="4" w:space="0" w:color="auto"/>
              <w:right w:val="single" w:sz="4" w:space="0" w:color="auto"/>
            </w:tcBorders>
            <w:shd w:val="clear" w:color="auto" w:fill="auto"/>
            <w:noWrap/>
            <w:vAlign w:val="bottom"/>
            <w:hideMark/>
          </w:tcPr>
          <w:p w14:paraId="7FFCB710"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11%</w:t>
            </w:r>
          </w:p>
        </w:tc>
        <w:tc>
          <w:tcPr>
            <w:tcW w:w="888" w:type="dxa"/>
            <w:tcBorders>
              <w:top w:val="nil"/>
              <w:left w:val="nil"/>
              <w:bottom w:val="single" w:sz="4" w:space="0" w:color="auto"/>
              <w:right w:val="single" w:sz="8" w:space="0" w:color="auto"/>
            </w:tcBorders>
            <w:shd w:val="clear" w:color="auto" w:fill="auto"/>
            <w:noWrap/>
            <w:vAlign w:val="bottom"/>
            <w:hideMark/>
          </w:tcPr>
          <w:p w14:paraId="1D07D4E1"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12%</w:t>
            </w:r>
          </w:p>
        </w:tc>
      </w:tr>
      <w:tr w:rsidR="003A616C" w:rsidRPr="00551045" w14:paraId="6C84E99D" w14:textId="77777777" w:rsidTr="00EE1DCA">
        <w:trPr>
          <w:trHeight w:val="300"/>
        </w:trPr>
        <w:tc>
          <w:tcPr>
            <w:tcW w:w="3319" w:type="dxa"/>
            <w:tcBorders>
              <w:top w:val="nil"/>
              <w:left w:val="single" w:sz="8" w:space="0" w:color="auto"/>
              <w:bottom w:val="single" w:sz="4" w:space="0" w:color="auto"/>
              <w:right w:val="single" w:sz="8" w:space="0" w:color="auto"/>
            </w:tcBorders>
            <w:shd w:val="clear" w:color="auto" w:fill="auto"/>
            <w:vAlign w:val="center"/>
            <w:hideMark/>
          </w:tcPr>
          <w:p w14:paraId="1F940A9A" w14:textId="77777777" w:rsidR="003A616C" w:rsidRPr="00551045" w:rsidRDefault="003A616C" w:rsidP="00EE1DCA">
            <w:pPr>
              <w:spacing w:after="0" w:line="240" w:lineRule="auto"/>
              <w:rPr>
                <w:rFonts w:ascii="Arial" w:eastAsia="Times New Roman" w:hAnsi="Arial" w:cs="Arial"/>
                <w:color w:val="000000"/>
                <w:sz w:val="20"/>
                <w:szCs w:val="20"/>
              </w:rPr>
            </w:pPr>
            <w:r w:rsidRPr="00551045">
              <w:rPr>
                <w:rFonts w:ascii="Arial" w:eastAsia="Times New Roman" w:hAnsi="Arial" w:cs="Arial"/>
                <w:color w:val="000000"/>
                <w:sz w:val="20"/>
                <w:szCs w:val="20"/>
              </w:rPr>
              <w:t xml:space="preserve">Trial Home Visit </w:t>
            </w:r>
          </w:p>
        </w:tc>
        <w:tc>
          <w:tcPr>
            <w:tcW w:w="889" w:type="dxa"/>
            <w:tcBorders>
              <w:top w:val="nil"/>
              <w:left w:val="nil"/>
              <w:bottom w:val="single" w:sz="4" w:space="0" w:color="auto"/>
              <w:right w:val="single" w:sz="4" w:space="0" w:color="auto"/>
            </w:tcBorders>
            <w:shd w:val="clear" w:color="auto" w:fill="auto"/>
            <w:noWrap/>
            <w:vAlign w:val="bottom"/>
            <w:hideMark/>
          </w:tcPr>
          <w:p w14:paraId="0D6769B9"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5%</w:t>
            </w:r>
          </w:p>
        </w:tc>
        <w:tc>
          <w:tcPr>
            <w:tcW w:w="888" w:type="dxa"/>
            <w:tcBorders>
              <w:top w:val="nil"/>
              <w:left w:val="nil"/>
              <w:bottom w:val="single" w:sz="4" w:space="0" w:color="auto"/>
              <w:right w:val="single" w:sz="4" w:space="0" w:color="auto"/>
            </w:tcBorders>
            <w:shd w:val="clear" w:color="auto" w:fill="auto"/>
            <w:noWrap/>
            <w:vAlign w:val="bottom"/>
            <w:hideMark/>
          </w:tcPr>
          <w:p w14:paraId="534FA563"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5%</w:t>
            </w:r>
          </w:p>
        </w:tc>
        <w:tc>
          <w:tcPr>
            <w:tcW w:w="888" w:type="dxa"/>
            <w:tcBorders>
              <w:top w:val="nil"/>
              <w:left w:val="nil"/>
              <w:bottom w:val="single" w:sz="4" w:space="0" w:color="auto"/>
              <w:right w:val="single" w:sz="4" w:space="0" w:color="auto"/>
            </w:tcBorders>
            <w:shd w:val="clear" w:color="auto" w:fill="auto"/>
            <w:noWrap/>
            <w:vAlign w:val="bottom"/>
            <w:hideMark/>
          </w:tcPr>
          <w:p w14:paraId="3188B63C"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7%</w:t>
            </w:r>
          </w:p>
        </w:tc>
        <w:tc>
          <w:tcPr>
            <w:tcW w:w="888" w:type="dxa"/>
            <w:tcBorders>
              <w:top w:val="nil"/>
              <w:left w:val="nil"/>
              <w:bottom w:val="single" w:sz="4" w:space="0" w:color="auto"/>
              <w:right w:val="single" w:sz="4" w:space="0" w:color="auto"/>
            </w:tcBorders>
            <w:shd w:val="clear" w:color="auto" w:fill="auto"/>
            <w:noWrap/>
            <w:vAlign w:val="bottom"/>
            <w:hideMark/>
          </w:tcPr>
          <w:p w14:paraId="64C3EB85"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5%</w:t>
            </w:r>
          </w:p>
        </w:tc>
        <w:tc>
          <w:tcPr>
            <w:tcW w:w="888" w:type="dxa"/>
            <w:tcBorders>
              <w:top w:val="nil"/>
              <w:left w:val="nil"/>
              <w:bottom w:val="single" w:sz="4" w:space="0" w:color="auto"/>
              <w:right w:val="single" w:sz="8" w:space="0" w:color="auto"/>
            </w:tcBorders>
            <w:shd w:val="clear" w:color="auto" w:fill="auto"/>
            <w:noWrap/>
            <w:vAlign w:val="bottom"/>
            <w:hideMark/>
          </w:tcPr>
          <w:p w14:paraId="4B2F3158"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5%</w:t>
            </w:r>
          </w:p>
        </w:tc>
      </w:tr>
      <w:tr w:rsidR="003A616C" w:rsidRPr="00551045" w14:paraId="2E647C11" w14:textId="77777777" w:rsidTr="00EE1DCA">
        <w:trPr>
          <w:trHeight w:val="315"/>
        </w:trPr>
        <w:tc>
          <w:tcPr>
            <w:tcW w:w="3319" w:type="dxa"/>
            <w:tcBorders>
              <w:top w:val="nil"/>
              <w:left w:val="single" w:sz="8" w:space="0" w:color="auto"/>
              <w:bottom w:val="single" w:sz="8" w:space="0" w:color="auto"/>
              <w:right w:val="single" w:sz="8" w:space="0" w:color="auto"/>
            </w:tcBorders>
            <w:shd w:val="clear" w:color="auto" w:fill="auto"/>
            <w:vAlign w:val="center"/>
            <w:hideMark/>
          </w:tcPr>
          <w:p w14:paraId="42031469" w14:textId="77777777" w:rsidR="003A616C" w:rsidRPr="00551045" w:rsidRDefault="003A616C" w:rsidP="00EE1DCA">
            <w:pPr>
              <w:spacing w:after="0" w:line="240" w:lineRule="auto"/>
              <w:rPr>
                <w:rFonts w:ascii="Arial" w:eastAsia="Times New Roman" w:hAnsi="Arial" w:cs="Arial"/>
                <w:color w:val="000000"/>
                <w:sz w:val="20"/>
                <w:szCs w:val="20"/>
              </w:rPr>
            </w:pPr>
            <w:r w:rsidRPr="00551045">
              <w:rPr>
                <w:rFonts w:ascii="Arial" w:eastAsia="Times New Roman" w:hAnsi="Arial" w:cs="Arial"/>
                <w:color w:val="000000"/>
                <w:sz w:val="20"/>
                <w:szCs w:val="20"/>
              </w:rPr>
              <w:t>Other</w:t>
            </w:r>
          </w:p>
        </w:tc>
        <w:tc>
          <w:tcPr>
            <w:tcW w:w="889" w:type="dxa"/>
            <w:tcBorders>
              <w:top w:val="nil"/>
              <w:left w:val="nil"/>
              <w:bottom w:val="single" w:sz="8" w:space="0" w:color="auto"/>
              <w:right w:val="single" w:sz="4" w:space="0" w:color="auto"/>
            </w:tcBorders>
            <w:shd w:val="clear" w:color="auto" w:fill="auto"/>
            <w:noWrap/>
            <w:vAlign w:val="bottom"/>
            <w:hideMark/>
          </w:tcPr>
          <w:p w14:paraId="0B32DB09"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14%</w:t>
            </w:r>
          </w:p>
        </w:tc>
        <w:tc>
          <w:tcPr>
            <w:tcW w:w="888" w:type="dxa"/>
            <w:tcBorders>
              <w:top w:val="nil"/>
              <w:left w:val="nil"/>
              <w:bottom w:val="single" w:sz="8" w:space="0" w:color="auto"/>
              <w:right w:val="single" w:sz="4" w:space="0" w:color="auto"/>
            </w:tcBorders>
            <w:shd w:val="clear" w:color="auto" w:fill="auto"/>
            <w:noWrap/>
            <w:vAlign w:val="bottom"/>
            <w:hideMark/>
          </w:tcPr>
          <w:p w14:paraId="3909A869"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12%</w:t>
            </w:r>
          </w:p>
        </w:tc>
        <w:tc>
          <w:tcPr>
            <w:tcW w:w="888" w:type="dxa"/>
            <w:tcBorders>
              <w:top w:val="nil"/>
              <w:left w:val="nil"/>
              <w:bottom w:val="single" w:sz="8" w:space="0" w:color="auto"/>
              <w:right w:val="single" w:sz="4" w:space="0" w:color="auto"/>
            </w:tcBorders>
            <w:shd w:val="clear" w:color="auto" w:fill="auto"/>
            <w:noWrap/>
            <w:vAlign w:val="bottom"/>
            <w:hideMark/>
          </w:tcPr>
          <w:p w14:paraId="428E8A34"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13%</w:t>
            </w:r>
          </w:p>
        </w:tc>
        <w:tc>
          <w:tcPr>
            <w:tcW w:w="888" w:type="dxa"/>
            <w:tcBorders>
              <w:top w:val="nil"/>
              <w:left w:val="nil"/>
              <w:bottom w:val="single" w:sz="8" w:space="0" w:color="auto"/>
              <w:right w:val="single" w:sz="4" w:space="0" w:color="auto"/>
            </w:tcBorders>
            <w:shd w:val="clear" w:color="auto" w:fill="auto"/>
            <w:noWrap/>
            <w:vAlign w:val="bottom"/>
            <w:hideMark/>
          </w:tcPr>
          <w:p w14:paraId="7158C05C"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15%</w:t>
            </w:r>
          </w:p>
        </w:tc>
        <w:tc>
          <w:tcPr>
            <w:tcW w:w="888" w:type="dxa"/>
            <w:tcBorders>
              <w:top w:val="nil"/>
              <w:left w:val="nil"/>
              <w:bottom w:val="single" w:sz="8" w:space="0" w:color="auto"/>
              <w:right w:val="single" w:sz="8" w:space="0" w:color="auto"/>
            </w:tcBorders>
            <w:shd w:val="clear" w:color="auto" w:fill="auto"/>
            <w:noWrap/>
            <w:vAlign w:val="bottom"/>
            <w:hideMark/>
          </w:tcPr>
          <w:p w14:paraId="74D87098" w14:textId="77777777" w:rsidR="003A616C" w:rsidRPr="00551045" w:rsidRDefault="003A616C" w:rsidP="00EE1DCA">
            <w:pPr>
              <w:spacing w:after="0" w:line="240" w:lineRule="auto"/>
              <w:jc w:val="center"/>
              <w:rPr>
                <w:rFonts w:ascii="Calibri" w:eastAsia="Times New Roman" w:hAnsi="Calibri" w:cs="Times New Roman"/>
                <w:color w:val="000000"/>
              </w:rPr>
            </w:pPr>
            <w:r w:rsidRPr="00551045">
              <w:rPr>
                <w:rFonts w:ascii="Calibri" w:eastAsia="Times New Roman" w:hAnsi="Calibri" w:cs="Times New Roman"/>
                <w:color w:val="000000"/>
              </w:rPr>
              <w:t>15%</w:t>
            </w:r>
          </w:p>
        </w:tc>
      </w:tr>
    </w:tbl>
    <w:p w14:paraId="5FF873F6" w14:textId="77777777" w:rsidR="00727FAA" w:rsidRDefault="00727FAA" w:rsidP="007E28E9">
      <w:pPr>
        <w:pStyle w:val="NoSpacing"/>
        <w:tabs>
          <w:tab w:val="left" w:pos="2042"/>
        </w:tabs>
        <w:rPr>
          <w:sz w:val="24"/>
          <w:szCs w:val="24"/>
        </w:rPr>
      </w:pPr>
    </w:p>
    <w:p w14:paraId="6483B1CB" w14:textId="7D4B5D91" w:rsidR="00066540" w:rsidRDefault="00066540" w:rsidP="007E28E9">
      <w:pPr>
        <w:pStyle w:val="NoSpacing"/>
        <w:tabs>
          <w:tab w:val="left" w:pos="2042"/>
        </w:tabs>
        <w:rPr>
          <w:sz w:val="24"/>
          <w:szCs w:val="24"/>
        </w:rPr>
      </w:pPr>
      <w:r>
        <w:rPr>
          <w:sz w:val="24"/>
          <w:szCs w:val="24"/>
        </w:rPr>
        <w:t>The Annie E. Casey Foundation 2013 report on children in out</w:t>
      </w:r>
      <w:r w:rsidR="00CF5E2D">
        <w:rPr>
          <w:sz w:val="24"/>
          <w:szCs w:val="24"/>
        </w:rPr>
        <w:t>-</w:t>
      </w:r>
      <w:r>
        <w:rPr>
          <w:sz w:val="24"/>
          <w:szCs w:val="24"/>
        </w:rPr>
        <w:t>of</w:t>
      </w:r>
      <w:r w:rsidR="00CF5E2D">
        <w:rPr>
          <w:sz w:val="24"/>
          <w:szCs w:val="24"/>
        </w:rPr>
        <w:t>-</w:t>
      </w:r>
      <w:r>
        <w:rPr>
          <w:sz w:val="24"/>
          <w:szCs w:val="24"/>
        </w:rPr>
        <w:t>home placements sho</w:t>
      </w:r>
      <w:r w:rsidR="005C4987">
        <w:rPr>
          <w:sz w:val="24"/>
          <w:szCs w:val="24"/>
        </w:rPr>
        <w:t>w</w:t>
      </w:r>
      <w:r>
        <w:rPr>
          <w:sz w:val="24"/>
          <w:szCs w:val="24"/>
        </w:rPr>
        <w:t>ed the following regarding children in out-of-hom</w:t>
      </w:r>
      <w:r w:rsidR="00CF5E2D">
        <w:rPr>
          <w:sz w:val="24"/>
          <w:szCs w:val="24"/>
        </w:rPr>
        <w:t>e-care in Non-Family Settings (Congregate</w:t>
      </w:r>
      <w:r w:rsidR="002570E6">
        <w:rPr>
          <w:sz w:val="24"/>
          <w:szCs w:val="24"/>
        </w:rPr>
        <w:t xml:space="preserve"> Placements</w:t>
      </w:r>
      <w:r w:rsidR="00CF5E2D">
        <w:rPr>
          <w:sz w:val="24"/>
          <w:szCs w:val="24"/>
        </w:rPr>
        <w:t>):</w:t>
      </w:r>
    </w:p>
    <w:p w14:paraId="066E089D" w14:textId="77777777" w:rsidR="00066540" w:rsidRDefault="00066540" w:rsidP="007E28E9">
      <w:pPr>
        <w:pStyle w:val="NoSpacing"/>
        <w:tabs>
          <w:tab w:val="left" w:pos="2042"/>
        </w:tabs>
        <w:rPr>
          <w:sz w:val="24"/>
          <w:szCs w:val="24"/>
        </w:rPr>
      </w:pPr>
    </w:p>
    <w:p w14:paraId="17E9F07F" w14:textId="1C5A634B" w:rsidR="00066540" w:rsidRDefault="00066540" w:rsidP="007E28E9">
      <w:pPr>
        <w:pStyle w:val="NoSpacing"/>
        <w:tabs>
          <w:tab w:val="left" w:pos="2042"/>
        </w:tabs>
        <w:rPr>
          <w:sz w:val="24"/>
          <w:szCs w:val="24"/>
        </w:rPr>
      </w:pPr>
      <w:r>
        <w:rPr>
          <w:sz w:val="24"/>
          <w:szCs w:val="24"/>
        </w:rPr>
        <w:t xml:space="preserve">Arkansas –     </w:t>
      </w:r>
      <w:r w:rsidR="006F52DA">
        <w:rPr>
          <w:sz w:val="24"/>
          <w:szCs w:val="24"/>
        </w:rPr>
        <w:t xml:space="preserve">  </w:t>
      </w:r>
      <w:r>
        <w:rPr>
          <w:sz w:val="24"/>
          <w:szCs w:val="24"/>
        </w:rPr>
        <w:t>19%</w:t>
      </w:r>
    </w:p>
    <w:p w14:paraId="3E2A939F" w14:textId="13220D06" w:rsidR="00066540" w:rsidRDefault="00066540" w:rsidP="007E28E9">
      <w:pPr>
        <w:pStyle w:val="NoSpacing"/>
        <w:tabs>
          <w:tab w:val="left" w:pos="2042"/>
        </w:tabs>
        <w:rPr>
          <w:sz w:val="24"/>
          <w:szCs w:val="24"/>
        </w:rPr>
      </w:pPr>
      <w:r>
        <w:rPr>
          <w:sz w:val="24"/>
          <w:szCs w:val="24"/>
        </w:rPr>
        <w:t xml:space="preserve">Louisiana –      </w:t>
      </w:r>
      <w:r w:rsidR="006F52DA">
        <w:rPr>
          <w:sz w:val="24"/>
          <w:szCs w:val="24"/>
        </w:rPr>
        <w:t xml:space="preserve">  </w:t>
      </w:r>
      <w:r>
        <w:rPr>
          <w:sz w:val="24"/>
          <w:szCs w:val="24"/>
        </w:rPr>
        <w:t>9%</w:t>
      </w:r>
    </w:p>
    <w:p w14:paraId="56B015C2" w14:textId="72F74514" w:rsidR="00066540" w:rsidRDefault="00066540" w:rsidP="007E28E9">
      <w:pPr>
        <w:pStyle w:val="NoSpacing"/>
        <w:tabs>
          <w:tab w:val="left" w:pos="2042"/>
        </w:tabs>
        <w:rPr>
          <w:sz w:val="24"/>
          <w:szCs w:val="24"/>
        </w:rPr>
      </w:pPr>
      <w:r>
        <w:rPr>
          <w:sz w:val="24"/>
          <w:szCs w:val="24"/>
        </w:rPr>
        <w:t xml:space="preserve">Missouri –     </w:t>
      </w:r>
      <w:r w:rsidR="006F52DA">
        <w:rPr>
          <w:sz w:val="24"/>
          <w:szCs w:val="24"/>
        </w:rPr>
        <w:t xml:space="preserve">  </w:t>
      </w:r>
      <w:r>
        <w:rPr>
          <w:sz w:val="24"/>
          <w:szCs w:val="24"/>
        </w:rPr>
        <w:t>11%</w:t>
      </w:r>
    </w:p>
    <w:p w14:paraId="03EEE0B8" w14:textId="04BD7327" w:rsidR="00066540" w:rsidRDefault="00066540" w:rsidP="007E28E9">
      <w:pPr>
        <w:pStyle w:val="NoSpacing"/>
        <w:tabs>
          <w:tab w:val="left" w:pos="2042"/>
        </w:tabs>
        <w:rPr>
          <w:sz w:val="24"/>
          <w:szCs w:val="24"/>
        </w:rPr>
      </w:pPr>
      <w:r>
        <w:rPr>
          <w:sz w:val="24"/>
          <w:szCs w:val="24"/>
        </w:rPr>
        <w:t xml:space="preserve">Oklahoma –    </w:t>
      </w:r>
      <w:r w:rsidR="006F52DA">
        <w:rPr>
          <w:sz w:val="24"/>
          <w:szCs w:val="24"/>
        </w:rPr>
        <w:t xml:space="preserve">  </w:t>
      </w:r>
      <w:r>
        <w:rPr>
          <w:sz w:val="24"/>
          <w:szCs w:val="24"/>
        </w:rPr>
        <w:t>9%</w:t>
      </w:r>
    </w:p>
    <w:p w14:paraId="0D9E2417" w14:textId="6D091F35" w:rsidR="00066540" w:rsidRDefault="00066540" w:rsidP="007E28E9">
      <w:pPr>
        <w:pStyle w:val="NoSpacing"/>
        <w:tabs>
          <w:tab w:val="left" w:pos="2042"/>
        </w:tabs>
        <w:rPr>
          <w:sz w:val="24"/>
          <w:szCs w:val="24"/>
        </w:rPr>
      </w:pPr>
      <w:r>
        <w:rPr>
          <w:sz w:val="24"/>
          <w:szCs w:val="24"/>
        </w:rPr>
        <w:t xml:space="preserve">Tennessee – </w:t>
      </w:r>
      <w:r w:rsidR="006F52DA">
        <w:rPr>
          <w:sz w:val="24"/>
          <w:szCs w:val="24"/>
        </w:rPr>
        <w:t xml:space="preserve">  </w:t>
      </w:r>
      <w:r>
        <w:rPr>
          <w:sz w:val="24"/>
          <w:szCs w:val="24"/>
        </w:rPr>
        <w:t>17%</w:t>
      </w:r>
    </w:p>
    <w:p w14:paraId="67344B63" w14:textId="11FF2865" w:rsidR="00066540" w:rsidRDefault="00066540" w:rsidP="007E28E9">
      <w:pPr>
        <w:pStyle w:val="NoSpacing"/>
        <w:tabs>
          <w:tab w:val="left" w:pos="2042"/>
        </w:tabs>
        <w:rPr>
          <w:sz w:val="24"/>
          <w:szCs w:val="24"/>
        </w:rPr>
      </w:pPr>
      <w:r>
        <w:rPr>
          <w:sz w:val="24"/>
          <w:szCs w:val="24"/>
        </w:rPr>
        <w:t xml:space="preserve">Texas – </w:t>
      </w:r>
      <w:r w:rsidR="006F52DA">
        <w:rPr>
          <w:sz w:val="24"/>
          <w:szCs w:val="24"/>
        </w:rPr>
        <w:t xml:space="preserve">           </w:t>
      </w:r>
      <w:r>
        <w:rPr>
          <w:sz w:val="24"/>
          <w:szCs w:val="24"/>
        </w:rPr>
        <w:t>16%</w:t>
      </w:r>
    </w:p>
    <w:p w14:paraId="28E44389" w14:textId="77777777" w:rsidR="00066540" w:rsidRDefault="00066540" w:rsidP="007E28E9">
      <w:pPr>
        <w:pStyle w:val="NoSpacing"/>
        <w:tabs>
          <w:tab w:val="left" w:pos="2042"/>
        </w:tabs>
        <w:rPr>
          <w:sz w:val="24"/>
          <w:szCs w:val="24"/>
        </w:rPr>
      </w:pPr>
    </w:p>
    <w:p w14:paraId="1F90686A" w14:textId="274AF5E5" w:rsidR="00066540" w:rsidRDefault="00066540" w:rsidP="007E28E9">
      <w:pPr>
        <w:pStyle w:val="NoSpacing"/>
        <w:tabs>
          <w:tab w:val="left" w:pos="2042"/>
        </w:tabs>
        <w:rPr>
          <w:sz w:val="24"/>
          <w:szCs w:val="24"/>
        </w:rPr>
      </w:pPr>
      <w:r>
        <w:rPr>
          <w:sz w:val="24"/>
          <w:szCs w:val="24"/>
        </w:rPr>
        <w:t>Oregon was the lowest at 4% and Colorado was highest at 35%.</w:t>
      </w:r>
      <w:r w:rsidR="00660060">
        <w:rPr>
          <w:sz w:val="24"/>
          <w:szCs w:val="24"/>
        </w:rPr>
        <w:t xml:space="preserve">  Twelve states had a higher percentage of children in non-family settings than Arkansas.</w:t>
      </w:r>
      <w:r w:rsidR="00AD1DEA">
        <w:rPr>
          <w:sz w:val="24"/>
          <w:szCs w:val="24"/>
        </w:rPr>
        <w:t xml:space="preserve">  There is considerable evidence that children do better in family-based settings than congregate settings.  The lack of suitable foster home and relative placements is most likely the reason a disproportionately high number of children </w:t>
      </w:r>
      <w:r w:rsidR="000B0A26">
        <w:rPr>
          <w:sz w:val="24"/>
          <w:szCs w:val="24"/>
        </w:rPr>
        <w:t xml:space="preserve">are </w:t>
      </w:r>
      <w:r w:rsidR="00AD1DEA">
        <w:rPr>
          <w:sz w:val="24"/>
          <w:szCs w:val="24"/>
        </w:rPr>
        <w:t>in non-family settings.</w:t>
      </w:r>
    </w:p>
    <w:p w14:paraId="2B48AA30" w14:textId="77777777" w:rsidR="00066540" w:rsidRPr="005D1BB3" w:rsidRDefault="00066540" w:rsidP="007E28E9">
      <w:pPr>
        <w:pStyle w:val="NoSpacing"/>
        <w:tabs>
          <w:tab w:val="left" w:pos="2042"/>
        </w:tabs>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514"/>
        <w:gridCol w:w="1514"/>
        <w:gridCol w:w="1514"/>
        <w:gridCol w:w="1516"/>
      </w:tblGrid>
      <w:tr w:rsidR="00F37C11" w:rsidRPr="005D1BB3" w14:paraId="7435C72B" w14:textId="77777777">
        <w:trPr>
          <w:trHeight w:val="93"/>
        </w:trPr>
        <w:tc>
          <w:tcPr>
            <w:tcW w:w="6058" w:type="dxa"/>
            <w:gridSpan w:val="4"/>
          </w:tcPr>
          <w:p w14:paraId="598591C3" w14:textId="77777777" w:rsidR="00F37C11" w:rsidRPr="005D1BB3" w:rsidRDefault="00F37C11">
            <w:pPr>
              <w:pStyle w:val="Default"/>
              <w:rPr>
                <w:rFonts w:asciiTheme="minorHAnsi" w:hAnsiTheme="minorHAnsi"/>
                <w:b/>
                <w:i/>
              </w:rPr>
            </w:pPr>
            <w:r w:rsidRPr="005D1BB3">
              <w:rPr>
                <w:rFonts w:asciiTheme="minorHAnsi" w:hAnsiTheme="minorHAnsi"/>
                <w:b/>
                <w:i/>
              </w:rPr>
              <w:t xml:space="preserve">Proximity </w:t>
            </w:r>
            <w:r w:rsidR="00937543" w:rsidRPr="005D1BB3">
              <w:rPr>
                <w:rFonts w:asciiTheme="minorHAnsi" w:hAnsiTheme="minorHAnsi"/>
                <w:b/>
                <w:i/>
              </w:rPr>
              <w:t>of Placement to Home County</w:t>
            </w:r>
          </w:p>
        </w:tc>
      </w:tr>
      <w:tr w:rsidR="00F37C11" w:rsidRPr="005D1BB3" w14:paraId="3EDEDFB5" w14:textId="77777777">
        <w:trPr>
          <w:trHeight w:val="93"/>
        </w:trPr>
        <w:tc>
          <w:tcPr>
            <w:tcW w:w="6058" w:type="dxa"/>
            <w:gridSpan w:val="4"/>
          </w:tcPr>
          <w:p w14:paraId="4E26BAF3" w14:textId="77777777" w:rsidR="00F37C11" w:rsidRPr="005D1BB3" w:rsidRDefault="00F37C11">
            <w:pPr>
              <w:pStyle w:val="Default"/>
              <w:rPr>
                <w:rFonts w:asciiTheme="minorHAnsi" w:hAnsiTheme="minorHAnsi"/>
              </w:rPr>
            </w:pPr>
          </w:p>
        </w:tc>
      </w:tr>
      <w:tr w:rsidR="00F37C11" w:rsidRPr="005D1BB3" w14:paraId="3075C26F" w14:textId="77777777">
        <w:trPr>
          <w:trHeight w:val="93"/>
        </w:trPr>
        <w:tc>
          <w:tcPr>
            <w:tcW w:w="6058" w:type="dxa"/>
            <w:gridSpan w:val="4"/>
          </w:tcPr>
          <w:p w14:paraId="0738FE05" w14:textId="3F4F8875" w:rsidR="00F37C11" w:rsidRPr="005D1BB3" w:rsidRDefault="00F37C11" w:rsidP="00AD1DEA">
            <w:pPr>
              <w:pStyle w:val="Default"/>
              <w:rPr>
                <w:rFonts w:asciiTheme="minorHAnsi" w:hAnsiTheme="minorHAnsi"/>
              </w:rPr>
            </w:pPr>
            <w:r w:rsidRPr="005D1BB3">
              <w:rPr>
                <w:rFonts w:asciiTheme="minorHAnsi" w:hAnsiTheme="minorHAnsi"/>
                <w:bCs/>
                <w:i/>
                <w:iCs/>
              </w:rPr>
              <w:t xml:space="preserve">Percentage of Children Placed in a Setting </w:t>
            </w:r>
          </w:p>
        </w:tc>
      </w:tr>
      <w:tr w:rsidR="00F37C11" w:rsidRPr="005D1BB3" w14:paraId="0F92DE6D" w14:textId="77777777">
        <w:trPr>
          <w:trHeight w:val="93"/>
        </w:trPr>
        <w:tc>
          <w:tcPr>
            <w:tcW w:w="6058" w:type="dxa"/>
            <w:gridSpan w:val="4"/>
          </w:tcPr>
          <w:p w14:paraId="30B0F424" w14:textId="77777777" w:rsidR="00F37C11" w:rsidRPr="005D1BB3" w:rsidRDefault="00F37C11">
            <w:pPr>
              <w:pStyle w:val="Default"/>
              <w:rPr>
                <w:rFonts w:asciiTheme="minorHAnsi" w:hAnsiTheme="minorHAnsi"/>
              </w:rPr>
            </w:pPr>
            <w:r w:rsidRPr="005D1BB3">
              <w:rPr>
                <w:rFonts w:asciiTheme="minorHAnsi" w:hAnsiTheme="minorHAnsi"/>
                <w:bCs/>
                <w:i/>
                <w:iCs/>
              </w:rPr>
              <w:t xml:space="preserve">within the Same County from which they were Removed </w:t>
            </w:r>
          </w:p>
        </w:tc>
      </w:tr>
      <w:tr w:rsidR="00F37C11" w:rsidRPr="005D1BB3" w14:paraId="15BEEE2E" w14:textId="77777777" w:rsidTr="00937543">
        <w:trPr>
          <w:trHeight w:val="93"/>
        </w:trPr>
        <w:tc>
          <w:tcPr>
            <w:tcW w:w="1514" w:type="dxa"/>
          </w:tcPr>
          <w:p w14:paraId="106BAACE" w14:textId="77777777" w:rsidR="00F37C11" w:rsidRPr="005D1BB3" w:rsidRDefault="00F37C11">
            <w:pPr>
              <w:pStyle w:val="Default"/>
              <w:rPr>
                <w:rFonts w:asciiTheme="minorHAnsi" w:hAnsiTheme="minorHAnsi"/>
              </w:rPr>
            </w:pPr>
            <w:r w:rsidRPr="005D1BB3">
              <w:rPr>
                <w:rFonts w:asciiTheme="minorHAnsi" w:hAnsiTheme="minorHAnsi"/>
                <w:b/>
                <w:bCs/>
              </w:rPr>
              <w:t xml:space="preserve">Area </w:t>
            </w:r>
          </w:p>
        </w:tc>
        <w:tc>
          <w:tcPr>
            <w:tcW w:w="1514" w:type="dxa"/>
          </w:tcPr>
          <w:p w14:paraId="0D8464F3" w14:textId="77777777" w:rsidR="00F37C11" w:rsidRPr="005D1BB3" w:rsidRDefault="00F37C11">
            <w:pPr>
              <w:pStyle w:val="Default"/>
              <w:rPr>
                <w:rFonts w:asciiTheme="minorHAnsi" w:hAnsiTheme="minorHAnsi"/>
              </w:rPr>
            </w:pPr>
            <w:r w:rsidRPr="005D1BB3">
              <w:rPr>
                <w:rFonts w:asciiTheme="minorHAnsi" w:hAnsiTheme="minorHAnsi"/>
                <w:b/>
                <w:bCs/>
              </w:rPr>
              <w:t xml:space="preserve">2011 </w:t>
            </w:r>
          </w:p>
        </w:tc>
        <w:tc>
          <w:tcPr>
            <w:tcW w:w="1514" w:type="dxa"/>
          </w:tcPr>
          <w:p w14:paraId="2B217607" w14:textId="77777777" w:rsidR="00F37C11" w:rsidRPr="005D1BB3" w:rsidRDefault="00F37C11">
            <w:pPr>
              <w:pStyle w:val="Default"/>
              <w:rPr>
                <w:rFonts w:asciiTheme="minorHAnsi" w:hAnsiTheme="minorHAnsi"/>
              </w:rPr>
            </w:pPr>
            <w:r w:rsidRPr="005D1BB3">
              <w:rPr>
                <w:rFonts w:asciiTheme="minorHAnsi" w:hAnsiTheme="minorHAnsi"/>
                <w:b/>
                <w:bCs/>
              </w:rPr>
              <w:t xml:space="preserve">2012 </w:t>
            </w:r>
          </w:p>
        </w:tc>
        <w:tc>
          <w:tcPr>
            <w:tcW w:w="1516" w:type="dxa"/>
          </w:tcPr>
          <w:p w14:paraId="3DB9A36A" w14:textId="77777777" w:rsidR="00F37C11" w:rsidRPr="005D1BB3" w:rsidRDefault="00F37C11">
            <w:pPr>
              <w:pStyle w:val="Default"/>
              <w:rPr>
                <w:rFonts w:asciiTheme="minorHAnsi" w:hAnsiTheme="minorHAnsi"/>
              </w:rPr>
            </w:pPr>
            <w:r w:rsidRPr="005D1BB3">
              <w:rPr>
                <w:rFonts w:asciiTheme="minorHAnsi" w:hAnsiTheme="minorHAnsi"/>
                <w:b/>
                <w:bCs/>
              </w:rPr>
              <w:t xml:space="preserve">2013            </w:t>
            </w:r>
          </w:p>
        </w:tc>
      </w:tr>
      <w:tr w:rsidR="00F37C11" w:rsidRPr="005D1BB3" w14:paraId="35C971BA" w14:textId="77777777" w:rsidTr="00937543">
        <w:trPr>
          <w:trHeight w:val="93"/>
        </w:trPr>
        <w:tc>
          <w:tcPr>
            <w:tcW w:w="1514" w:type="dxa"/>
          </w:tcPr>
          <w:p w14:paraId="58C417ED" w14:textId="77777777" w:rsidR="00F37C11" w:rsidRPr="005D1BB3" w:rsidRDefault="00F37C11">
            <w:pPr>
              <w:pStyle w:val="Default"/>
              <w:rPr>
                <w:rFonts w:asciiTheme="minorHAnsi" w:hAnsiTheme="minorHAnsi"/>
              </w:rPr>
            </w:pPr>
            <w:r w:rsidRPr="005D1BB3">
              <w:rPr>
                <w:rFonts w:asciiTheme="minorHAnsi" w:hAnsiTheme="minorHAnsi"/>
              </w:rPr>
              <w:t xml:space="preserve">1 </w:t>
            </w:r>
          </w:p>
        </w:tc>
        <w:tc>
          <w:tcPr>
            <w:tcW w:w="1514" w:type="dxa"/>
          </w:tcPr>
          <w:p w14:paraId="75D6C84B" w14:textId="77777777" w:rsidR="00F37C11" w:rsidRPr="005D1BB3" w:rsidRDefault="00F37C11">
            <w:pPr>
              <w:pStyle w:val="Default"/>
              <w:rPr>
                <w:rFonts w:asciiTheme="minorHAnsi" w:hAnsiTheme="minorHAnsi"/>
              </w:rPr>
            </w:pPr>
            <w:r w:rsidRPr="005D1BB3">
              <w:rPr>
                <w:rFonts w:asciiTheme="minorHAnsi" w:hAnsiTheme="minorHAnsi"/>
              </w:rPr>
              <w:t xml:space="preserve">54.0 </w:t>
            </w:r>
          </w:p>
        </w:tc>
        <w:tc>
          <w:tcPr>
            <w:tcW w:w="1514" w:type="dxa"/>
          </w:tcPr>
          <w:p w14:paraId="4BCEE659" w14:textId="77777777" w:rsidR="00F37C11" w:rsidRPr="005D1BB3" w:rsidRDefault="00F37C11">
            <w:pPr>
              <w:pStyle w:val="Default"/>
              <w:rPr>
                <w:rFonts w:asciiTheme="minorHAnsi" w:hAnsiTheme="minorHAnsi"/>
              </w:rPr>
            </w:pPr>
            <w:r w:rsidRPr="005D1BB3">
              <w:rPr>
                <w:rFonts w:asciiTheme="minorHAnsi" w:hAnsiTheme="minorHAnsi"/>
              </w:rPr>
              <w:t xml:space="preserve">55.0 </w:t>
            </w:r>
          </w:p>
        </w:tc>
        <w:tc>
          <w:tcPr>
            <w:tcW w:w="1516" w:type="dxa"/>
          </w:tcPr>
          <w:p w14:paraId="5B67BCF9" w14:textId="77777777" w:rsidR="00F37C11" w:rsidRPr="005D1BB3" w:rsidRDefault="00F37C11">
            <w:pPr>
              <w:pStyle w:val="Default"/>
              <w:rPr>
                <w:rFonts w:asciiTheme="minorHAnsi" w:hAnsiTheme="minorHAnsi"/>
              </w:rPr>
            </w:pPr>
            <w:r w:rsidRPr="005D1BB3">
              <w:rPr>
                <w:rFonts w:asciiTheme="minorHAnsi" w:hAnsiTheme="minorHAnsi"/>
              </w:rPr>
              <w:t xml:space="preserve">58.3 </w:t>
            </w:r>
          </w:p>
        </w:tc>
      </w:tr>
      <w:tr w:rsidR="00F37C11" w:rsidRPr="005D1BB3" w14:paraId="0F085813" w14:textId="77777777" w:rsidTr="00937543">
        <w:trPr>
          <w:trHeight w:val="93"/>
        </w:trPr>
        <w:tc>
          <w:tcPr>
            <w:tcW w:w="1514" w:type="dxa"/>
          </w:tcPr>
          <w:p w14:paraId="0C1CBB2C" w14:textId="77777777" w:rsidR="00F37C11" w:rsidRPr="005D1BB3" w:rsidRDefault="00F37C11">
            <w:pPr>
              <w:pStyle w:val="Default"/>
              <w:rPr>
                <w:rFonts w:asciiTheme="minorHAnsi" w:hAnsiTheme="minorHAnsi"/>
              </w:rPr>
            </w:pPr>
            <w:r w:rsidRPr="005D1BB3">
              <w:rPr>
                <w:rFonts w:asciiTheme="minorHAnsi" w:hAnsiTheme="minorHAnsi"/>
              </w:rPr>
              <w:t xml:space="preserve">2 </w:t>
            </w:r>
          </w:p>
        </w:tc>
        <w:tc>
          <w:tcPr>
            <w:tcW w:w="1514" w:type="dxa"/>
          </w:tcPr>
          <w:p w14:paraId="45454F37" w14:textId="77777777" w:rsidR="00F37C11" w:rsidRPr="005D1BB3" w:rsidRDefault="00F37C11">
            <w:pPr>
              <w:pStyle w:val="Default"/>
              <w:rPr>
                <w:rFonts w:asciiTheme="minorHAnsi" w:hAnsiTheme="minorHAnsi"/>
              </w:rPr>
            </w:pPr>
            <w:r w:rsidRPr="005D1BB3">
              <w:rPr>
                <w:rFonts w:asciiTheme="minorHAnsi" w:hAnsiTheme="minorHAnsi"/>
              </w:rPr>
              <w:t xml:space="preserve">31.9 </w:t>
            </w:r>
          </w:p>
        </w:tc>
        <w:tc>
          <w:tcPr>
            <w:tcW w:w="1514" w:type="dxa"/>
          </w:tcPr>
          <w:p w14:paraId="0EFCCEB8" w14:textId="77777777" w:rsidR="00F37C11" w:rsidRPr="005D1BB3" w:rsidRDefault="00F37C11">
            <w:pPr>
              <w:pStyle w:val="Default"/>
              <w:rPr>
                <w:rFonts w:asciiTheme="minorHAnsi" w:hAnsiTheme="minorHAnsi"/>
              </w:rPr>
            </w:pPr>
            <w:r w:rsidRPr="005D1BB3">
              <w:rPr>
                <w:rFonts w:asciiTheme="minorHAnsi" w:hAnsiTheme="minorHAnsi"/>
              </w:rPr>
              <w:t xml:space="preserve">34.0 </w:t>
            </w:r>
          </w:p>
        </w:tc>
        <w:tc>
          <w:tcPr>
            <w:tcW w:w="1516" w:type="dxa"/>
          </w:tcPr>
          <w:p w14:paraId="1393253D" w14:textId="77777777" w:rsidR="00F37C11" w:rsidRPr="005D1BB3" w:rsidRDefault="00F37C11">
            <w:pPr>
              <w:pStyle w:val="Default"/>
              <w:rPr>
                <w:rFonts w:asciiTheme="minorHAnsi" w:hAnsiTheme="minorHAnsi"/>
              </w:rPr>
            </w:pPr>
            <w:r w:rsidRPr="005D1BB3">
              <w:rPr>
                <w:rFonts w:asciiTheme="minorHAnsi" w:hAnsiTheme="minorHAnsi"/>
              </w:rPr>
              <w:t xml:space="preserve">31.2 </w:t>
            </w:r>
          </w:p>
        </w:tc>
      </w:tr>
      <w:tr w:rsidR="00F37C11" w:rsidRPr="005D1BB3" w14:paraId="6172BEA2" w14:textId="77777777" w:rsidTr="00937543">
        <w:trPr>
          <w:trHeight w:val="93"/>
        </w:trPr>
        <w:tc>
          <w:tcPr>
            <w:tcW w:w="1514" w:type="dxa"/>
          </w:tcPr>
          <w:p w14:paraId="4E278C3F" w14:textId="77777777" w:rsidR="00F37C11" w:rsidRPr="005D1BB3" w:rsidRDefault="00F37C11">
            <w:pPr>
              <w:pStyle w:val="Default"/>
              <w:rPr>
                <w:rFonts w:asciiTheme="minorHAnsi" w:hAnsiTheme="minorHAnsi"/>
              </w:rPr>
            </w:pPr>
            <w:r w:rsidRPr="005D1BB3">
              <w:rPr>
                <w:rFonts w:asciiTheme="minorHAnsi" w:hAnsiTheme="minorHAnsi"/>
              </w:rPr>
              <w:t xml:space="preserve">3 </w:t>
            </w:r>
          </w:p>
        </w:tc>
        <w:tc>
          <w:tcPr>
            <w:tcW w:w="1514" w:type="dxa"/>
          </w:tcPr>
          <w:p w14:paraId="5E3C2154" w14:textId="77777777" w:rsidR="00F37C11" w:rsidRPr="005D1BB3" w:rsidRDefault="00F37C11">
            <w:pPr>
              <w:pStyle w:val="Default"/>
              <w:rPr>
                <w:rFonts w:asciiTheme="minorHAnsi" w:hAnsiTheme="minorHAnsi"/>
              </w:rPr>
            </w:pPr>
            <w:r w:rsidRPr="005D1BB3">
              <w:rPr>
                <w:rFonts w:asciiTheme="minorHAnsi" w:hAnsiTheme="minorHAnsi"/>
              </w:rPr>
              <w:t xml:space="preserve">57.0 </w:t>
            </w:r>
          </w:p>
        </w:tc>
        <w:tc>
          <w:tcPr>
            <w:tcW w:w="1514" w:type="dxa"/>
          </w:tcPr>
          <w:p w14:paraId="43D7888E" w14:textId="77777777" w:rsidR="00F37C11" w:rsidRPr="005D1BB3" w:rsidRDefault="00F37C11">
            <w:pPr>
              <w:pStyle w:val="Default"/>
              <w:rPr>
                <w:rFonts w:asciiTheme="minorHAnsi" w:hAnsiTheme="minorHAnsi"/>
              </w:rPr>
            </w:pPr>
            <w:r w:rsidRPr="005D1BB3">
              <w:rPr>
                <w:rFonts w:asciiTheme="minorHAnsi" w:hAnsiTheme="minorHAnsi"/>
              </w:rPr>
              <w:t xml:space="preserve">41.2 </w:t>
            </w:r>
          </w:p>
        </w:tc>
        <w:tc>
          <w:tcPr>
            <w:tcW w:w="1516" w:type="dxa"/>
          </w:tcPr>
          <w:p w14:paraId="3E9E7EC9" w14:textId="77777777" w:rsidR="00F37C11" w:rsidRPr="005D1BB3" w:rsidRDefault="00F37C11">
            <w:pPr>
              <w:pStyle w:val="Default"/>
              <w:rPr>
                <w:rFonts w:asciiTheme="minorHAnsi" w:hAnsiTheme="minorHAnsi"/>
              </w:rPr>
            </w:pPr>
            <w:r w:rsidRPr="005D1BB3">
              <w:rPr>
                <w:rFonts w:asciiTheme="minorHAnsi" w:hAnsiTheme="minorHAnsi"/>
              </w:rPr>
              <w:t xml:space="preserve">38.7 </w:t>
            </w:r>
          </w:p>
        </w:tc>
      </w:tr>
      <w:tr w:rsidR="00F37C11" w:rsidRPr="005D1BB3" w14:paraId="15184DE8" w14:textId="77777777" w:rsidTr="00937543">
        <w:trPr>
          <w:trHeight w:val="93"/>
        </w:trPr>
        <w:tc>
          <w:tcPr>
            <w:tcW w:w="1514" w:type="dxa"/>
          </w:tcPr>
          <w:p w14:paraId="0A082FFC" w14:textId="77777777" w:rsidR="00F37C11" w:rsidRPr="005D1BB3" w:rsidRDefault="00F37C11">
            <w:pPr>
              <w:pStyle w:val="Default"/>
              <w:rPr>
                <w:rFonts w:asciiTheme="minorHAnsi" w:hAnsiTheme="minorHAnsi"/>
              </w:rPr>
            </w:pPr>
            <w:r w:rsidRPr="005D1BB3">
              <w:rPr>
                <w:rFonts w:asciiTheme="minorHAnsi" w:hAnsiTheme="minorHAnsi"/>
              </w:rPr>
              <w:t xml:space="preserve">4 </w:t>
            </w:r>
          </w:p>
        </w:tc>
        <w:tc>
          <w:tcPr>
            <w:tcW w:w="1514" w:type="dxa"/>
          </w:tcPr>
          <w:p w14:paraId="772595EF" w14:textId="77777777" w:rsidR="00F37C11" w:rsidRPr="005D1BB3" w:rsidRDefault="00F37C11">
            <w:pPr>
              <w:pStyle w:val="Default"/>
              <w:rPr>
                <w:rFonts w:asciiTheme="minorHAnsi" w:hAnsiTheme="minorHAnsi"/>
              </w:rPr>
            </w:pPr>
            <w:r w:rsidRPr="005D1BB3">
              <w:rPr>
                <w:rFonts w:asciiTheme="minorHAnsi" w:hAnsiTheme="minorHAnsi"/>
              </w:rPr>
              <w:t xml:space="preserve">18.1 </w:t>
            </w:r>
          </w:p>
        </w:tc>
        <w:tc>
          <w:tcPr>
            <w:tcW w:w="1514" w:type="dxa"/>
          </w:tcPr>
          <w:p w14:paraId="77F5E549" w14:textId="77777777" w:rsidR="00F37C11" w:rsidRPr="005D1BB3" w:rsidRDefault="00F37C11">
            <w:pPr>
              <w:pStyle w:val="Default"/>
              <w:rPr>
                <w:rFonts w:asciiTheme="minorHAnsi" w:hAnsiTheme="minorHAnsi"/>
              </w:rPr>
            </w:pPr>
            <w:r w:rsidRPr="005D1BB3">
              <w:rPr>
                <w:rFonts w:asciiTheme="minorHAnsi" w:hAnsiTheme="minorHAnsi"/>
              </w:rPr>
              <w:t xml:space="preserve">27.8 </w:t>
            </w:r>
          </w:p>
        </w:tc>
        <w:tc>
          <w:tcPr>
            <w:tcW w:w="1516" w:type="dxa"/>
          </w:tcPr>
          <w:p w14:paraId="2F6A1E47" w14:textId="77777777" w:rsidR="00F37C11" w:rsidRPr="005D1BB3" w:rsidRDefault="00F37C11">
            <w:pPr>
              <w:pStyle w:val="Default"/>
              <w:rPr>
                <w:rFonts w:asciiTheme="minorHAnsi" w:hAnsiTheme="minorHAnsi"/>
              </w:rPr>
            </w:pPr>
            <w:r w:rsidRPr="005D1BB3">
              <w:rPr>
                <w:rFonts w:asciiTheme="minorHAnsi" w:hAnsiTheme="minorHAnsi"/>
              </w:rPr>
              <w:t xml:space="preserve">29.5 </w:t>
            </w:r>
          </w:p>
        </w:tc>
      </w:tr>
      <w:tr w:rsidR="00F37C11" w:rsidRPr="005D1BB3" w14:paraId="24651EDB" w14:textId="77777777" w:rsidTr="00937543">
        <w:trPr>
          <w:trHeight w:val="93"/>
        </w:trPr>
        <w:tc>
          <w:tcPr>
            <w:tcW w:w="1514" w:type="dxa"/>
          </w:tcPr>
          <w:p w14:paraId="60717507" w14:textId="77777777" w:rsidR="00F37C11" w:rsidRPr="005D1BB3" w:rsidRDefault="00F37C11">
            <w:pPr>
              <w:pStyle w:val="Default"/>
              <w:rPr>
                <w:rFonts w:asciiTheme="minorHAnsi" w:hAnsiTheme="minorHAnsi"/>
              </w:rPr>
            </w:pPr>
            <w:r w:rsidRPr="005D1BB3">
              <w:rPr>
                <w:rFonts w:asciiTheme="minorHAnsi" w:hAnsiTheme="minorHAnsi"/>
              </w:rPr>
              <w:t xml:space="preserve">5 </w:t>
            </w:r>
          </w:p>
        </w:tc>
        <w:tc>
          <w:tcPr>
            <w:tcW w:w="1514" w:type="dxa"/>
          </w:tcPr>
          <w:p w14:paraId="7BA36CC6" w14:textId="77777777" w:rsidR="00F37C11" w:rsidRPr="005D1BB3" w:rsidRDefault="00F37C11">
            <w:pPr>
              <w:pStyle w:val="Default"/>
              <w:rPr>
                <w:rFonts w:asciiTheme="minorHAnsi" w:hAnsiTheme="minorHAnsi"/>
              </w:rPr>
            </w:pPr>
            <w:r w:rsidRPr="005D1BB3">
              <w:rPr>
                <w:rFonts w:asciiTheme="minorHAnsi" w:hAnsiTheme="minorHAnsi"/>
              </w:rPr>
              <w:t xml:space="preserve">33.4 </w:t>
            </w:r>
          </w:p>
        </w:tc>
        <w:tc>
          <w:tcPr>
            <w:tcW w:w="1514" w:type="dxa"/>
          </w:tcPr>
          <w:p w14:paraId="4790E2F6" w14:textId="77777777" w:rsidR="00F37C11" w:rsidRPr="005D1BB3" w:rsidRDefault="00F37C11">
            <w:pPr>
              <w:pStyle w:val="Default"/>
              <w:rPr>
                <w:rFonts w:asciiTheme="minorHAnsi" w:hAnsiTheme="minorHAnsi"/>
              </w:rPr>
            </w:pPr>
            <w:r w:rsidRPr="005D1BB3">
              <w:rPr>
                <w:rFonts w:asciiTheme="minorHAnsi" w:hAnsiTheme="minorHAnsi"/>
              </w:rPr>
              <w:t xml:space="preserve">38.7 </w:t>
            </w:r>
          </w:p>
        </w:tc>
        <w:tc>
          <w:tcPr>
            <w:tcW w:w="1516" w:type="dxa"/>
          </w:tcPr>
          <w:p w14:paraId="1C5FDB19" w14:textId="77777777" w:rsidR="00F37C11" w:rsidRPr="005D1BB3" w:rsidRDefault="00F37C11">
            <w:pPr>
              <w:pStyle w:val="Default"/>
              <w:rPr>
                <w:rFonts w:asciiTheme="minorHAnsi" w:hAnsiTheme="minorHAnsi"/>
              </w:rPr>
            </w:pPr>
            <w:r w:rsidRPr="005D1BB3">
              <w:rPr>
                <w:rFonts w:asciiTheme="minorHAnsi" w:hAnsiTheme="minorHAnsi"/>
              </w:rPr>
              <w:t xml:space="preserve">31.4 </w:t>
            </w:r>
          </w:p>
        </w:tc>
      </w:tr>
      <w:tr w:rsidR="00F37C11" w:rsidRPr="005D1BB3" w14:paraId="2E659AF6" w14:textId="77777777" w:rsidTr="00937543">
        <w:trPr>
          <w:trHeight w:val="93"/>
        </w:trPr>
        <w:tc>
          <w:tcPr>
            <w:tcW w:w="1514" w:type="dxa"/>
          </w:tcPr>
          <w:p w14:paraId="565D8A0E" w14:textId="77777777" w:rsidR="00F37C11" w:rsidRPr="005D1BB3" w:rsidRDefault="00F37C11">
            <w:pPr>
              <w:pStyle w:val="Default"/>
              <w:rPr>
                <w:rFonts w:asciiTheme="minorHAnsi" w:hAnsiTheme="minorHAnsi"/>
              </w:rPr>
            </w:pPr>
            <w:r w:rsidRPr="005D1BB3">
              <w:rPr>
                <w:rFonts w:asciiTheme="minorHAnsi" w:hAnsiTheme="minorHAnsi"/>
              </w:rPr>
              <w:t xml:space="preserve">6 </w:t>
            </w:r>
          </w:p>
        </w:tc>
        <w:tc>
          <w:tcPr>
            <w:tcW w:w="1514" w:type="dxa"/>
          </w:tcPr>
          <w:p w14:paraId="5D861466" w14:textId="77777777" w:rsidR="00F37C11" w:rsidRPr="005D1BB3" w:rsidRDefault="00F37C11">
            <w:pPr>
              <w:pStyle w:val="Default"/>
              <w:rPr>
                <w:rFonts w:asciiTheme="minorHAnsi" w:hAnsiTheme="minorHAnsi"/>
              </w:rPr>
            </w:pPr>
            <w:r w:rsidRPr="005D1BB3">
              <w:rPr>
                <w:rFonts w:asciiTheme="minorHAnsi" w:hAnsiTheme="minorHAnsi"/>
              </w:rPr>
              <w:t xml:space="preserve">79.1 </w:t>
            </w:r>
          </w:p>
        </w:tc>
        <w:tc>
          <w:tcPr>
            <w:tcW w:w="1514" w:type="dxa"/>
          </w:tcPr>
          <w:p w14:paraId="7BC97AAC" w14:textId="77777777" w:rsidR="00F37C11" w:rsidRPr="005D1BB3" w:rsidRDefault="00F37C11">
            <w:pPr>
              <w:pStyle w:val="Default"/>
              <w:rPr>
                <w:rFonts w:asciiTheme="minorHAnsi" w:hAnsiTheme="minorHAnsi"/>
              </w:rPr>
            </w:pPr>
            <w:r w:rsidRPr="005D1BB3">
              <w:rPr>
                <w:rFonts w:asciiTheme="minorHAnsi" w:hAnsiTheme="minorHAnsi"/>
              </w:rPr>
              <w:t xml:space="preserve">78.7 </w:t>
            </w:r>
          </w:p>
        </w:tc>
        <w:tc>
          <w:tcPr>
            <w:tcW w:w="1516" w:type="dxa"/>
          </w:tcPr>
          <w:p w14:paraId="7B740EB8" w14:textId="77777777" w:rsidR="00F37C11" w:rsidRPr="005D1BB3" w:rsidRDefault="00F37C11">
            <w:pPr>
              <w:pStyle w:val="Default"/>
              <w:rPr>
                <w:rFonts w:asciiTheme="minorHAnsi" w:hAnsiTheme="minorHAnsi"/>
              </w:rPr>
            </w:pPr>
            <w:r w:rsidRPr="005D1BB3">
              <w:rPr>
                <w:rFonts w:asciiTheme="minorHAnsi" w:hAnsiTheme="minorHAnsi"/>
              </w:rPr>
              <w:t xml:space="preserve">80.9 </w:t>
            </w:r>
          </w:p>
        </w:tc>
      </w:tr>
      <w:tr w:rsidR="00F37C11" w:rsidRPr="005D1BB3" w14:paraId="474DFA12" w14:textId="77777777" w:rsidTr="00937543">
        <w:trPr>
          <w:trHeight w:val="93"/>
        </w:trPr>
        <w:tc>
          <w:tcPr>
            <w:tcW w:w="1514" w:type="dxa"/>
          </w:tcPr>
          <w:p w14:paraId="0AF69B6C" w14:textId="77777777" w:rsidR="00F37C11" w:rsidRPr="005D1BB3" w:rsidRDefault="00F37C11">
            <w:pPr>
              <w:pStyle w:val="Default"/>
              <w:rPr>
                <w:rFonts w:asciiTheme="minorHAnsi" w:hAnsiTheme="minorHAnsi"/>
              </w:rPr>
            </w:pPr>
            <w:r w:rsidRPr="005D1BB3">
              <w:rPr>
                <w:rFonts w:asciiTheme="minorHAnsi" w:hAnsiTheme="minorHAnsi"/>
              </w:rPr>
              <w:t xml:space="preserve">7 </w:t>
            </w:r>
          </w:p>
        </w:tc>
        <w:tc>
          <w:tcPr>
            <w:tcW w:w="1514" w:type="dxa"/>
          </w:tcPr>
          <w:p w14:paraId="31B53FB9" w14:textId="77777777" w:rsidR="00F37C11" w:rsidRPr="005D1BB3" w:rsidRDefault="00F37C11">
            <w:pPr>
              <w:pStyle w:val="Default"/>
              <w:rPr>
                <w:rFonts w:asciiTheme="minorHAnsi" w:hAnsiTheme="minorHAnsi"/>
              </w:rPr>
            </w:pPr>
            <w:r w:rsidRPr="005D1BB3">
              <w:rPr>
                <w:rFonts w:asciiTheme="minorHAnsi" w:hAnsiTheme="minorHAnsi"/>
              </w:rPr>
              <w:t xml:space="preserve">62.2 </w:t>
            </w:r>
          </w:p>
        </w:tc>
        <w:tc>
          <w:tcPr>
            <w:tcW w:w="1514" w:type="dxa"/>
          </w:tcPr>
          <w:p w14:paraId="115A6C9C" w14:textId="77777777" w:rsidR="00F37C11" w:rsidRPr="005D1BB3" w:rsidRDefault="00F37C11">
            <w:pPr>
              <w:pStyle w:val="Default"/>
              <w:rPr>
                <w:rFonts w:asciiTheme="minorHAnsi" w:hAnsiTheme="minorHAnsi"/>
              </w:rPr>
            </w:pPr>
            <w:r w:rsidRPr="005D1BB3">
              <w:rPr>
                <w:rFonts w:asciiTheme="minorHAnsi" w:hAnsiTheme="minorHAnsi"/>
              </w:rPr>
              <w:t xml:space="preserve">60.5 </w:t>
            </w:r>
          </w:p>
        </w:tc>
        <w:tc>
          <w:tcPr>
            <w:tcW w:w="1516" w:type="dxa"/>
          </w:tcPr>
          <w:p w14:paraId="55054C53" w14:textId="77777777" w:rsidR="00F37C11" w:rsidRPr="005D1BB3" w:rsidRDefault="00F37C11">
            <w:pPr>
              <w:pStyle w:val="Default"/>
              <w:rPr>
                <w:rFonts w:asciiTheme="minorHAnsi" w:hAnsiTheme="minorHAnsi"/>
              </w:rPr>
            </w:pPr>
            <w:r w:rsidRPr="005D1BB3">
              <w:rPr>
                <w:rFonts w:asciiTheme="minorHAnsi" w:hAnsiTheme="minorHAnsi"/>
              </w:rPr>
              <w:t xml:space="preserve">54.8 </w:t>
            </w:r>
          </w:p>
        </w:tc>
      </w:tr>
      <w:tr w:rsidR="00F37C11" w:rsidRPr="005D1BB3" w14:paraId="31127415" w14:textId="77777777" w:rsidTr="00937543">
        <w:trPr>
          <w:trHeight w:val="93"/>
        </w:trPr>
        <w:tc>
          <w:tcPr>
            <w:tcW w:w="1514" w:type="dxa"/>
          </w:tcPr>
          <w:p w14:paraId="157F704A" w14:textId="77777777" w:rsidR="00F37C11" w:rsidRPr="005D1BB3" w:rsidRDefault="00F37C11">
            <w:pPr>
              <w:pStyle w:val="Default"/>
              <w:rPr>
                <w:rFonts w:asciiTheme="minorHAnsi" w:hAnsiTheme="minorHAnsi"/>
              </w:rPr>
            </w:pPr>
            <w:r w:rsidRPr="005D1BB3">
              <w:rPr>
                <w:rFonts w:asciiTheme="minorHAnsi" w:hAnsiTheme="minorHAnsi"/>
              </w:rPr>
              <w:t xml:space="preserve">8 </w:t>
            </w:r>
          </w:p>
        </w:tc>
        <w:tc>
          <w:tcPr>
            <w:tcW w:w="1514" w:type="dxa"/>
          </w:tcPr>
          <w:p w14:paraId="55038200" w14:textId="77777777" w:rsidR="00F37C11" w:rsidRPr="005D1BB3" w:rsidRDefault="00F37C11">
            <w:pPr>
              <w:pStyle w:val="Default"/>
              <w:rPr>
                <w:rFonts w:asciiTheme="minorHAnsi" w:hAnsiTheme="minorHAnsi"/>
              </w:rPr>
            </w:pPr>
            <w:r w:rsidRPr="005D1BB3">
              <w:rPr>
                <w:rFonts w:asciiTheme="minorHAnsi" w:hAnsiTheme="minorHAnsi"/>
              </w:rPr>
              <w:t xml:space="preserve">35.9 </w:t>
            </w:r>
          </w:p>
        </w:tc>
        <w:tc>
          <w:tcPr>
            <w:tcW w:w="1514" w:type="dxa"/>
          </w:tcPr>
          <w:p w14:paraId="029F1FE8" w14:textId="77777777" w:rsidR="00F37C11" w:rsidRPr="005D1BB3" w:rsidRDefault="00F37C11">
            <w:pPr>
              <w:pStyle w:val="Default"/>
              <w:rPr>
                <w:rFonts w:asciiTheme="minorHAnsi" w:hAnsiTheme="minorHAnsi"/>
              </w:rPr>
            </w:pPr>
            <w:r w:rsidRPr="005D1BB3">
              <w:rPr>
                <w:rFonts w:asciiTheme="minorHAnsi" w:hAnsiTheme="minorHAnsi"/>
              </w:rPr>
              <w:t xml:space="preserve">40.5 </w:t>
            </w:r>
          </w:p>
        </w:tc>
        <w:tc>
          <w:tcPr>
            <w:tcW w:w="1516" w:type="dxa"/>
          </w:tcPr>
          <w:p w14:paraId="2D97BBF5" w14:textId="77777777" w:rsidR="00F37C11" w:rsidRPr="005D1BB3" w:rsidRDefault="00F37C11">
            <w:pPr>
              <w:pStyle w:val="Default"/>
              <w:rPr>
                <w:rFonts w:asciiTheme="minorHAnsi" w:hAnsiTheme="minorHAnsi"/>
              </w:rPr>
            </w:pPr>
            <w:r w:rsidRPr="005D1BB3">
              <w:rPr>
                <w:rFonts w:asciiTheme="minorHAnsi" w:hAnsiTheme="minorHAnsi"/>
              </w:rPr>
              <w:t xml:space="preserve">43.6 </w:t>
            </w:r>
          </w:p>
        </w:tc>
      </w:tr>
      <w:tr w:rsidR="00F37C11" w:rsidRPr="005D1BB3" w14:paraId="2A5A44F3" w14:textId="77777777" w:rsidTr="00937543">
        <w:trPr>
          <w:trHeight w:val="93"/>
        </w:trPr>
        <w:tc>
          <w:tcPr>
            <w:tcW w:w="1514" w:type="dxa"/>
          </w:tcPr>
          <w:p w14:paraId="2BFC1E73" w14:textId="77777777" w:rsidR="00F37C11" w:rsidRPr="005D1BB3" w:rsidRDefault="00F37C11">
            <w:pPr>
              <w:pStyle w:val="Default"/>
              <w:rPr>
                <w:rFonts w:asciiTheme="minorHAnsi" w:hAnsiTheme="minorHAnsi"/>
              </w:rPr>
            </w:pPr>
            <w:r w:rsidRPr="005D1BB3">
              <w:rPr>
                <w:rFonts w:asciiTheme="minorHAnsi" w:hAnsiTheme="minorHAnsi"/>
              </w:rPr>
              <w:t xml:space="preserve">9 </w:t>
            </w:r>
          </w:p>
        </w:tc>
        <w:tc>
          <w:tcPr>
            <w:tcW w:w="1514" w:type="dxa"/>
          </w:tcPr>
          <w:p w14:paraId="0228ECEF" w14:textId="77777777" w:rsidR="00F37C11" w:rsidRPr="005D1BB3" w:rsidRDefault="00F37C11">
            <w:pPr>
              <w:pStyle w:val="Default"/>
              <w:rPr>
                <w:rFonts w:asciiTheme="minorHAnsi" w:hAnsiTheme="minorHAnsi"/>
              </w:rPr>
            </w:pPr>
            <w:r w:rsidRPr="005D1BB3">
              <w:rPr>
                <w:rFonts w:asciiTheme="minorHAnsi" w:hAnsiTheme="minorHAnsi"/>
              </w:rPr>
              <w:t xml:space="preserve">43.9 </w:t>
            </w:r>
          </w:p>
        </w:tc>
        <w:tc>
          <w:tcPr>
            <w:tcW w:w="1514" w:type="dxa"/>
          </w:tcPr>
          <w:p w14:paraId="7716476A" w14:textId="77777777" w:rsidR="00F37C11" w:rsidRPr="005D1BB3" w:rsidRDefault="00F37C11">
            <w:pPr>
              <w:pStyle w:val="Default"/>
              <w:rPr>
                <w:rFonts w:asciiTheme="minorHAnsi" w:hAnsiTheme="minorHAnsi"/>
              </w:rPr>
            </w:pPr>
            <w:r w:rsidRPr="005D1BB3">
              <w:rPr>
                <w:rFonts w:asciiTheme="minorHAnsi" w:hAnsiTheme="minorHAnsi"/>
              </w:rPr>
              <w:t xml:space="preserve">42.6 </w:t>
            </w:r>
          </w:p>
        </w:tc>
        <w:tc>
          <w:tcPr>
            <w:tcW w:w="1516" w:type="dxa"/>
          </w:tcPr>
          <w:p w14:paraId="2CBEAF5D" w14:textId="77777777" w:rsidR="00F37C11" w:rsidRPr="005D1BB3" w:rsidRDefault="00F37C11">
            <w:pPr>
              <w:pStyle w:val="Default"/>
              <w:rPr>
                <w:rFonts w:asciiTheme="minorHAnsi" w:hAnsiTheme="minorHAnsi"/>
              </w:rPr>
            </w:pPr>
            <w:r w:rsidRPr="005D1BB3">
              <w:rPr>
                <w:rFonts w:asciiTheme="minorHAnsi" w:hAnsiTheme="minorHAnsi"/>
              </w:rPr>
              <w:t xml:space="preserve">37.7 </w:t>
            </w:r>
          </w:p>
        </w:tc>
      </w:tr>
      <w:tr w:rsidR="00F37C11" w:rsidRPr="005D1BB3" w14:paraId="258E9EB2" w14:textId="77777777" w:rsidTr="00937543">
        <w:trPr>
          <w:trHeight w:val="93"/>
        </w:trPr>
        <w:tc>
          <w:tcPr>
            <w:tcW w:w="1514" w:type="dxa"/>
          </w:tcPr>
          <w:p w14:paraId="6413E0A9" w14:textId="77777777" w:rsidR="00F37C11" w:rsidRPr="005D1BB3" w:rsidRDefault="00F37C11">
            <w:pPr>
              <w:pStyle w:val="Default"/>
              <w:rPr>
                <w:rFonts w:asciiTheme="minorHAnsi" w:hAnsiTheme="minorHAnsi"/>
              </w:rPr>
            </w:pPr>
            <w:r w:rsidRPr="005D1BB3">
              <w:rPr>
                <w:rFonts w:asciiTheme="minorHAnsi" w:hAnsiTheme="minorHAnsi"/>
              </w:rPr>
              <w:t xml:space="preserve">10 </w:t>
            </w:r>
          </w:p>
        </w:tc>
        <w:tc>
          <w:tcPr>
            <w:tcW w:w="1514" w:type="dxa"/>
          </w:tcPr>
          <w:p w14:paraId="699EB10C" w14:textId="77777777" w:rsidR="00F37C11" w:rsidRPr="005D1BB3" w:rsidRDefault="00F37C11">
            <w:pPr>
              <w:pStyle w:val="Default"/>
              <w:rPr>
                <w:rFonts w:asciiTheme="minorHAnsi" w:hAnsiTheme="minorHAnsi"/>
              </w:rPr>
            </w:pPr>
            <w:r w:rsidRPr="005D1BB3">
              <w:rPr>
                <w:rFonts w:asciiTheme="minorHAnsi" w:hAnsiTheme="minorHAnsi"/>
              </w:rPr>
              <w:t xml:space="preserve">50.6 </w:t>
            </w:r>
          </w:p>
        </w:tc>
        <w:tc>
          <w:tcPr>
            <w:tcW w:w="1514" w:type="dxa"/>
          </w:tcPr>
          <w:p w14:paraId="07FB0AA8" w14:textId="77777777" w:rsidR="00F37C11" w:rsidRPr="005D1BB3" w:rsidRDefault="00F37C11">
            <w:pPr>
              <w:pStyle w:val="Default"/>
              <w:rPr>
                <w:rFonts w:asciiTheme="minorHAnsi" w:hAnsiTheme="minorHAnsi"/>
              </w:rPr>
            </w:pPr>
            <w:r w:rsidRPr="005D1BB3">
              <w:rPr>
                <w:rFonts w:asciiTheme="minorHAnsi" w:hAnsiTheme="minorHAnsi"/>
              </w:rPr>
              <w:t xml:space="preserve">49.1 </w:t>
            </w:r>
          </w:p>
        </w:tc>
        <w:tc>
          <w:tcPr>
            <w:tcW w:w="1516" w:type="dxa"/>
          </w:tcPr>
          <w:p w14:paraId="44D474B8" w14:textId="77777777" w:rsidR="00F37C11" w:rsidRPr="005D1BB3" w:rsidRDefault="00F37C11">
            <w:pPr>
              <w:pStyle w:val="Default"/>
              <w:rPr>
                <w:rFonts w:asciiTheme="minorHAnsi" w:hAnsiTheme="minorHAnsi"/>
              </w:rPr>
            </w:pPr>
            <w:r w:rsidRPr="005D1BB3">
              <w:rPr>
                <w:rFonts w:asciiTheme="minorHAnsi" w:hAnsiTheme="minorHAnsi"/>
              </w:rPr>
              <w:t xml:space="preserve">50.0 </w:t>
            </w:r>
          </w:p>
        </w:tc>
      </w:tr>
      <w:tr w:rsidR="00F37C11" w:rsidRPr="005D1BB3" w14:paraId="7D402A63" w14:textId="77777777" w:rsidTr="00937543">
        <w:trPr>
          <w:trHeight w:val="93"/>
        </w:trPr>
        <w:tc>
          <w:tcPr>
            <w:tcW w:w="1514" w:type="dxa"/>
          </w:tcPr>
          <w:p w14:paraId="6B6AE30F" w14:textId="77777777" w:rsidR="00F37C11" w:rsidRPr="005D1BB3" w:rsidRDefault="00F37C11">
            <w:pPr>
              <w:pStyle w:val="Default"/>
              <w:rPr>
                <w:rFonts w:asciiTheme="minorHAnsi" w:hAnsiTheme="minorHAnsi"/>
              </w:rPr>
            </w:pPr>
            <w:r w:rsidRPr="005D1BB3">
              <w:rPr>
                <w:rFonts w:asciiTheme="minorHAnsi" w:hAnsiTheme="minorHAnsi"/>
                <w:b/>
                <w:bCs/>
                <w:i/>
                <w:iCs/>
              </w:rPr>
              <w:t xml:space="preserve">Statewide </w:t>
            </w:r>
          </w:p>
        </w:tc>
        <w:tc>
          <w:tcPr>
            <w:tcW w:w="1514" w:type="dxa"/>
          </w:tcPr>
          <w:p w14:paraId="7E95B2D4" w14:textId="77777777" w:rsidR="00F37C11" w:rsidRPr="005D1BB3" w:rsidRDefault="00F37C11">
            <w:pPr>
              <w:pStyle w:val="Default"/>
              <w:rPr>
                <w:rFonts w:asciiTheme="minorHAnsi" w:hAnsiTheme="minorHAnsi"/>
              </w:rPr>
            </w:pPr>
            <w:r w:rsidRPr="005D1BB3">
              <w:rPr>
                <w:rFonts w:asciiTheme="minorHAnsi" w:hAnsiTheme="minorHAnsi"/>
                <w:b/>
                <w:bCs/>
                <w:i/>
                <w:iCs/>
              </w:rPr>
              <w:t xml:space="preserve">46.5 </w:t>
            </w:r>
          </w:p>
        </w:tc>
        <w:tc>
          <w:tcPr>
            <w:tcW w:w="1514" w:type="dxa"/>
          </w:tcPr>
          <w:p w14:paraId="4FFA5CEF" w14:textId="77777777" w:rsidR="00F37C11" w:rsidRPr="005D1BB3" w:rsidRDefault="00F37C11">
            <w:pPr>
              <w:pStyle w:val="Default"/>
              <w:rPr>
                <w:rFonts w:asciiTheme="minorHAnsi" w:hAnsiTheme="minorHAnsi"/>
              </w:rPr>
            </w:pPr>
            <w:r w:rsidRPr="005D1BB3">
              <w:rPr>
                <w:rFonts w:asciiTheme="minorHAnsi" w:hAnsiTheme="minorHAnsi"/>
                <w:b/>
                <w:bCs/>
                <w:i/>
                <w:iCs/>
              </w:rPr>
              <w:t xml:space="preserve">47.1 </w:t>
            </w:r>
          </w:p>
        </w:tc>
        <w:tc>
          <w:tcPr>
            <w:tcW w:w="1516" w:type="dxa"/>
          </w:tcPr>
          <w:p w14:paraId="55408569" w14:textId="77777777" w:rsidR="00F37C11" w:rsidRDefault="00F37C11">
            <w:pPr>
              <w:pStyle w:val="Default"/>
              <w:rPr>
                <w:rFonts w:asciiTheme="minorHAnsi" w:hAnsiTheme="minorHAnsi"/>
                <w:b/>
                <w:bCs/>
                <w:i/>
                <w:iCs/>
              </w:rPr>
            </w:pPr>
            <w:r w:rsidRPr="005D1BB3">
              <w:rPr>
                <w:rFonts w:asciiTheme="minorHAnsi" w:hAnsiTheme="minorHAnsi"/>
                <w:b/>
                <w:bCs/>
                <w:i/>
                <w:iCs/>
              </w:rPr>
              <w:t xml:space="preserve">45.5 </w:t>
            </w:r>
          </w:p>
          <w:p w14:paraId="52CC28A5" w14:textId="77777777" w:rsidR="000B0A26" w:rsidRPr="005D1BB3" w:rsidRDefault="000B0A26">
            <w:pPr>
              <w:pStyle w:val="Default"/>
              <w:rPr>
                <w:rFonts w:asciiTheme="minorHAnsi" w:hAnsiTheme="minorHAnsi"/>
              </w:rPr>
            </w:pPr>
          </w:p>
        </w:tc>
      </w:tr>
    </w:tbl>
    <w:p w14:paraId="3826DE3C" w14:textId="26BE00D0" w:rsidR="00CF5E2D" w:rsidRDefault="00AD1DEA" w:rsidP="007E28E9">
      <w:pPr>
        <w:pStyle w:val="NoSpacing"/>
        <w:tabs>
          <w:tab w:val="left" w:pos="2042"/>
        </w:tabs>
        <w:rPr>
          <w:sz w:val="24"/>
          <w:szCs w:val="24"/>
        </w:rPr>
      </w:pPr>
      <w:r>
        <w:rPr>
          <w:sz w:val="24"/>
          <w:szCs w:val="24"/>
        </w:rPr>
        <w:t>No</w:t>
      </w:r>
      <w:r w:rsidRPr="00AD1DEA">
        <w:rPr>
          <w:sz w:val="24"/>
          <w:szCs w:val="24"/>
        </w:rPr>
        <w:t xml:space="preserve"> na</w:t>
      </w:r>
      <w:r w:rsidR="00B05BD8">
        <w:rPr>
          <w:sz w:val="24"/>
          <w:szCs w:val="24"/>
        </w:rPr>
        <w:t>tiona</w:t>
      </w:r>
      <w:r w:rsidRPr="00AD1DEA">
        <w:rPr>
          <w:sz w:val="24"/>
          <w:szCs w:val="24"/>
        </w:rPr>
        <w:t>l data are available</w:t>
      </w:r>
      <w:r w:rsidR="00B05BD8">
        <w:rPr>
          <w:sz w:val="24"/>
          <w:szCs w:val="24"/>
        </w:rPr>
        <w:t xml:space="preserve"> to compare Arkansas’ out</w:t>
      </w:r>
      <w:r w:rsidR="00B362CB">
        <w:rPr>
          <w:sz w:val="24"/>
          <w:szCs w:val="24"/>
        </w:rPr>
        <w:t>-</w:t>
      </w:r>
      <w:r w:rsidR="00B05BD8">
        <w:rPr>
          <w:sz w:val="24"/>
          <w:szCs w:val="24"/>
        </w:rPr>
        <w:t>of</w:t>
      </w:r>
      <w:r w:rsidR="00B362CB">
        <w:rPr>
          <w:sz w:val="24"/>
          <w:szCs w:val="24"/>
        </w:rPr>
        <w:t>-</w:t>
      </w:r>
      <w:r w:rsidR="00B05BD8">
        <w:rPr>
          <w:sz w:val="24"/>
          <w:szCs w:val="24"/>
        </w:rPr>
        <w:t xml:space="preserve">county placement levels with other systems, but having almost half of the children placed outside of their home county is extremely high.  This trend produces poorer outcomes for children, huge additional workload demands on caseworkers and limits the ability of staff to respond to the needs of </w:t>
      </w:r>
      <w:r w:rsidR="000B0A26">
        <w:rPr>
          <w:sz w:val="24"/>
          <w:szCs w:val="24"/>
        </w:rPr>
        <w:t xml:space="preserve">children and their </w:t>
      </w:r>
      <w:r w:rsidR="00B05BD8">
        <w:rPr>
          <w:sz w:val="24"/>
          <w:szCs w:val="24"/>
        </w:rPr>
        <w:t>foster parents.</w:t>
      </w:r>
    </w:p>
    <w:p w14:paraId="46286A14" w14:textId="77777777" w:rsidR="00CF5E2D" w:rsidRPr="00AD1DEA" w:rsidRDefault="00CF5E2D" w:rsidP="007E28E9">
      <w:pPr>
        <w:pStyle w:val="NoSpacing"/>
        <w:tabs>
          <w:tab w:val="left" w:pos="2042"/>
        </w:tabs>
        <w:rPr>
          <w:sz w:val="24"/>
          <w:szCs w:val="24"/>
        </w:rPr>
      </w:pPr>
    </w:p>
    <w:p w14:paraId="2387ADA9" w14:textId="77777777" w:rsidR="0001210A" w:rsidRDefault="00F71ADB" w:rsidP="007E28E9">
      <w:pPr>
        <w:pStyle w:val="NoSpacing"/>
        <w:tabs>
          <w:tab w:val="left" w:pos="2042"/>
        </w:tabs>
        <w:rPr>
          <w:b/>
          <w:i/>
          <w:sz w:val="24"/>
          <w:szCs w:val="24"/>
        </w:rPr>
      </w:pPr>
      <w:r w:rsidRPr="005D1BB3">
        <w:rPr>
          <w:b/>
          <w:i/>
          <w:sz w:val="24"/>
          <w:szCs w:val="24"/>
        </w:rPr>
        <w:t>Placement</w:t>
      </w:r>
      <w:r w:rsidR="0001210A" w:rsidRPr="005D1BB3">
        <w:rPr>
          <w:b/>
          <w:i/>
          <w:sz w:val="24"/>
          <w:szCs w:val="24"/>
        </w:rPr>
        <w:t xml:space="preserve"> Availability</w:t>
      </w:r>
      <w:r w:rsidRPr="005D1BB3">
        <w:rPr>
          <w:b/>
          <w:i/>
          <w:sz w:val="24"/>
          <w:szCs w:val="24"/>
        </w:rPr>
        <w:t xml:space="preserve"> 2</w:t>
      </w:r>
      <w:r w:rsidRPr="005D1BB3">
        <w:rPr>
          <w:b/>
          <w:i/>
          <w:sz w:val="24"/>
          <w:szCs w:val="24"/>
          <w:vertAlign w:val="superscript"/>
        </w:rPr>
        <w:t>nd</w:t>
      </w:r>
      <w:r w:rsidRPr="005D1BB3">
        <w:rPr>
          <w:b/>
          <w:i/>
          <w:sz w:val="24"/>
          <w:szCs w:val="24"/>
        </w:rPr>
        <w:t xml:space="preserve"> QTR 2015</w:t>
      </w:r>
    </w:p>
    <w:p w14:paraId="177A69A5" w14:textId="77777777" w:rsidR="00CF5E2D" w:rsidRPr="005D1BB3" w:rsidRDefault="00CF5E2D" w:rsidP="007E28E9">
      <w:pPr>
        <w:pStyle w:val="NoSpacing"/>
        <w:tabs>
          <w:tab w:val="left" w:pos="2042"/>
        </w:tabs>
        <w:rPr>
          <w:sz w:val="24"/>
          <w:szCs w:val="24"/>
        </w:rPr>
      </w:pPr>
    </w:p>
    <w:tbl>
      <w:tblPr>
        <w:tblStyle w:val="TableGrid"/>
        <w:tblW w:w="0" w:type="auto"/>
        <w:tblLook w:val="04A0" w:firstRow="1" w:lastRow="0" w:firstColumn="1" w:lastColumn="0" w:noHBand="0" w:noVBand="1"/>
      </w:tblPr>
      <w:tblGrid>
        <w:gridCol w:w="1870"/>
        <w:gridCol w:w="1870"/>
        <w:gridCol w:w="1870"/>
        <w:gridCol w:w="1870"/>
      </w:tblGrid>
      <w:tr w:rsidR="00F71ADB" w:rsidRPr="005D1BB3" w14:paraId="4A1C27B9" w14:textId="77777777" w:rsidTr="0001210A">
        <w:tc>
          <w:tcPr>
            <w:tcW w:w="1870" w:type="dxa"/>
          </w:tcPr>
          <w:p w14:paraId="271DFDEB" w14:textId="77777777" w:rsidR="00F71ADB" w:rsidRPr="005D1BB3" w:rsidRDefault="00F71ADB" w:rsidP="007E28E9">
            <w:pPr>
              <w:pStyle w:val="NoSpacing"/>
              <w:tabs>
                <w:tab w:val="left" w:pos="2042"/>
              </w:tabs>
              <w:rPr>
                <w:sz w:val="24"/>
                <w:szCs w:val="24"/>
              </w:rPr>
            </w:pPr>
            <w:r w:rsidRPr="005D1BB3">
              <w:rPr>
                <w:sz w:val="24"/>
                <w:szCs w:val="24"/>
              </w:rPr>
              <w:t>Area</w:t>
            </w:r>
          </w:p>
        </w:tc>
        <w:tc>
          <w:tcPr>
            <w:tcW w:w="1870" w:type="dxa"/>
          </w:tcPr>
          <w:p w14:paraId="44A2EBD3" w14:textId="77777777" w:rsidR="00F71ADB" w:rsidRPr="005D1BB3" w:rsidRDefault="00F71ADB" w:rsidP="007E28E9">
            <w:pPr>
              <w:pStyle w:val="NoSpacing"/>
              <w:tabs>
                <w:tab w:val="left" w:pos="2042"/>
              </w:tabs>
              <w:rPr>
                <w:sz w:val="24"/>
                <w:szCs w:val="24"/>
              </w:rPr>
            </w:pPr>
            <w:r w:rsidRPr="005D1BB3">
              <w:rPr>
                <w:sz w:val="24"/>
                <w:szCs w:val="24"/>
              </w:rPr>
              <w:t>Number of Children in Care</w:t>
            </w:r>
          </w:p>
        </w:tc>
        <w:tc>
          <w:tcPr>
            <w:tcW w:w="1870" w:type="dxa"/>
          </w:tcPr>
          <w:p w14:paraId="393DD41F" w14:textId="77777777" w:rsidR="00F71ADB" w:rsidRPr="005D1BB3" w:rsidRDefault="00F71ADB" w:rsidP="00946A5C">
            <w:pPr>
              <w:pStyle w:val="NoSpacing"/>
              <w:tabs>
                <w:tab w:val="left" w:pos="2042"/>
              </w:tabs>
              <w:rPr>
                <w:sz w:val="24"/>
                <w:szCs w:val="24"/>
              </w:rPr>
            </w:pPr>
            <w:r w:rsidRPr="005D1BB3">
              <w:rPr>
                <w:sz w:val="24"/>
                <w:szCs w:val="24"/>
              </w:rPr>
              <w:t xml:space="preserve">Number of </w:t>
            </w:r>
            <w:r w:rsidR="00946A5C">
              <w:rPr>
                <w:sz w:val="24"/>
                <w:szCs w:val="24"/>
              </w:rPr>
              <w:t>Family Foster Care</w:t>
            </w:r>
            <w:r w:rsidRPr="005D1BB3">
              <w:rPr>
                <w:sz w:val="24"/>
                <w:szCs w:val="24"/>
              </w:rPr>
              <w:t xml:space="preserve"> Beds</w:t>
            </w:r>
          </w:p>
        </w:tc>
        <w:tc>
          <w:tcPr>
            <w:tcW w:w="1870" w:type="dxa"/>
          </w:tcPr>
          <w:p w14:paraId="13FF7445" w14:textId="77777777" w:rsidR="00F71ADB" w:rsidRPr="005D1BB3" w:rsidRDefault="00F71ADB" w:rsidP="007E28E9">
            <w:pPr>
              <w:pStyle w:val="NoSpacing"/>
              <w:tabs>
                <w:tab w:val="left" w:pos="2042"/>
              </w:tabs>
              <w:rPr>
                <w:sz w:val="24"/>
                <w:szCs w:val="24"/>
              </w:rPr>
            </w:pPr>
            <w:r w:rsidRPr="005D1BB3">
              <w:rPr>
                <w:sz w:val="24"/>
                <w:szCs w:val="24"/>
              </w:rPr>
              <w:t>Child/Placement Bed Ratio</w:t>
            </w:r>
          </w:p>
        </w:tc>
      </w:tr>
      <w:tr w:rsidR="00F71ADB" w:rsidRPr="005D1BB3" w14:paraId="5CC15734" w14:textId="77777777" w:rsidTr="0001210A">
        <w:tc>
          <w:tcPr>
            <w:tcW w:w="1870" w:type="dxa"/>
          </w:tcPr>
          <w:p w14:paraId="352CC7F0" w14:textId="77777777" w:rsidR="00F71ADB" w:rsidRPr="005D1BB3" w:rsidRDefault="00F71ADB" w:rsidP="007E28E9">
            <w:pPr>
              <w:pStyle w:val="NoSpacing"/>
              <w:tabs>
                <w:tab w:val="left" w:pos="2042"/>
              </w:tabs>
              <w:rPr>
                <w:sz w:val="24"/>
                <w:szCs w:val="24"/>
              </w:rPr>
            </w:pPr>
            <w:r w:rsidRPr="005D1BB3">
              <w:rPr>
                <w:sz w:val="24"/>
                <w:szCs w:val="24"/>
              </w:rPr>
              <w:t>1</w:t>
            </w:r>
          </w:p>
        </w:tc>
        <w:tc>
          <w:tcPr>
            <w:tcW w:w="1870" w:type="dxa"/>
          </w:tcPr>
          <w:p w14:paraId="11FF12F7" w14:textId="77777777" w:rsidR="00F71ADB" w:rsidRPr="005D1BB3" w:rsidRDefault="00946A5C" w:rsidP="007E28E9">
            <w:pPr>
              <w:pStyle w:val="NoSpacing"/>
              <w:tabs>
                <w:tab w:val="left" w:pos="2042"/>
              </w:tabs>
              <w:rPr>
                <w:sz w:val="24"/>
                <w:szCs w:val="24"/>
              </w:rPr>
            </w:pPr>
            <w:r>
              <w:rPr>
                <w:sz w:val="24"/>
                <w:szCs w:val="24"/>
              </w:rPr>
              <w:t>417</w:t>
            </w:r>
          </w:p>
        </w:tc>
        <w:tc>
          <w:tcPr>
            <w:tcW w:w="1870" w:type="dxa"/>
          </w:tcPr>
          <w:p w14:paraId="018739DE" w14:textId="77777777" w:rsidR="00F71ADB" w:rsidRPr="005D1BB3" w:rsidRDefault="00946A5C" w:rsidP="007E28E9">
            <w:pPr>
              <w:pStyle w:val="NoSpacing"/>
              <w:tabs>
                <w:tab w:val="left" w:pos="2042"/>
              </w:tabs>
              <w:rPr>
                <w:sz w:val="24"/>
                <w:szCs w:val="24"/>
              </w:rPr>
            </w:pPr>
            <w:r>
              <w:rPr>
                <w:sz w:val="24"/>
                <w:szCs w:val="24"/>
              </w:rPr>
              <w:t>421</w:t>
            </w:r>
          </w:p>
        </w:tc>
        <w:tc>
          <w:tcPr>
            <w:tcW w:w="1870" w:type="dxa"/>
          </w:tcPr>
          <w:p w14:paraId="3BC3AC9A" w14:textId="77777777" w:rsidR="00F71ADB" w:rsidRPr="005D1BB3" w:rsidRDefault="00946A5C" w:rsidP="007E28E9">
            <w:pPr>
              <w:pStyle w:val="NoSpacing"/>
              <w:tabs>
                <w:tab w:val="left" w:pos="2042"/>
              </w:tabs>
              <w:rPr>
                <w:sz w:val="24"/>
                <w:szCs w:val="24"/>
              </w:rPr>
            </w:pPr>
            <w:r>
              <w:rPr>
                <w:sz w:val="24"/>
                <w:szCs w:val="24"/>
              </w:rPr>
              <w:t>1.01</w:t>
            </w:r>
          </w:p>
        </w:tc>
      </w:tr>
      <w:tr w:rsidR="00F71ADB" w:rsidRPr="005D1BB3" w14:paraId="0AF32DCA" w14:textId="77777777" w:rsidTr="0001210A">
        <w:tc>
          <w:tcPr>
            <w:tcW w:w="1870" w:type="dxa"/>
          </w:tcPr>
          <w:p w14:paraId="003B413C" w14:textId="77777777" w:rsidR="00F71ADB" w:rsidRPr="005D1BB3" w:rsidRDefault="00F71ADB" w:rsidP="007E28E9">
            <w:pPr>
              <w:pStyle w:val="NoSpacing"/>
              <w:tabs>
                <w:tab w:val="left" w:pos="2042"/>
              </w:tabs>
              <w:rPr>
                <w:sz w:val="24"/>
                <w:szCs w:val="24"/>
              </w:rPr>
            </w:pPr>
            <w:r w:rsidRPr="005D1BB3">
              <w:rPr>
                <w:sz w:val="24"/>
                <w:szCs w:val="24"/>
              </w:rPr>
              <w:t>2</w:t>
            </w:r>
          </w:p>
        </w:tc>
        <w:tc>
          <w:tcPr>
            <w:tcW w:w="1870" w:type="dxa"/>
          </w:tcPr>
          <w:p w14:paraId="7C423804" w14:textId="77777777" w:rsidR="00F71ADB" w:rsidRPr="005D1BB3" w:rsidRDefault="00946A5C" w:rsidP="007E28E9">
            <w:pPr>
              <w:pStyle w:val="NoSpacing"/>
              <w:tabs>
                <w:tab w:val="left" w:pos="2042"/>
              </w:tabs>
              <w:rPr>
                <w:sz w:val="24"/>
                <w:szCs w:val="24"/>
              </w:rPr>
            </w:pPr>
            <w:r>
              <w:rPr>
                <w:sz w:val="24"/>
                <w:szCs w:val="24"/>
              </w:rPr>
              <w:t>829</w:t>
            </w:r>
          </w:p>
        </w:tc>
        <w:tc>
          <w:tcPr>
            <w:tcW w:w="1870" w:type="dxa"/>
          </w:tcPr>
          <w:p w14:paraId="136BEB84" w14:textId="77777777" w:rsidR="00F71ADB" w:rsidRPr="005D1BB3" w:rsidRDefault="00946A5C" w:rsidP="007E28E9">
            <w:pPr>
              <w:pStyle w:val="NoSpacing"/>
              <w:tabs>
                <w:tab w:val="left" w:pos="2042"/>
              </w:tabs>
              <w:rPr>
                <w:sz w:val="24"/>
                <w:szCs w:val="24"/>
              </w:rPr>
            </w:pPr>
            <w:r>
              <w:rPr>
                <w:sz w:val="24"/>
                <w:szCs w:val="24"/>
              </w:rPr>
              <w:t>272</w:t>
            </w:r>
          </w:p>
        </w:tc>
        <w:tc>
          <w:tcPr>
            <w:tcW w:w="1870" w:type="dxa"/>
          </w:tcPr>
          <w:p w14:paraId="2E36E4C5" w14:textId="77777777" w:rsidR="00F71ADB" w:rsidRPr="005D1BB3" w:rsidRDefault="00946A5C" w:rsidP="007E28E9">
            <w:pPr>
              <w:pStyle w:val="NoSpacing"/>
              <w:tabs>
                <w:tab w:val="left" w:pos="2042"/>
              </w:tabs>
              <w:rPr>
                <w:sz w:val="24"/>
                <w:szCs w:val="24"/>
              </w:rPr>
            </w:pPr>
            <w:r>
              <w:rPr>
                <w:sz w:val="24"/>
                <w:szCs w:val="24"/>
              </w:rPr>
              <w:t>0.33</w:t>
            </w:r>
          </w:p>
        </w:tc>
      </w:tr>
      <w:tr w:rsidR="00F71ADB" w:rsidRPr="005D1BB3" w14:paraId="3CFD524E" w14:textId="77777777" w:rsidTr="0001210A">
        <w:tc>
          <w:tcPr>
            <w:tcW w:w="1870" w:type="dxa"/>
          </w:tcPr>
          <w:p w14:paraId="2E305827" w14:textId="77777777" w:rsidR="00F71ADB" w:rsidRPr="005D1BB3" w:rsidRDefault="00F71ADB" w:rsidP="007E28E9">
            <w:pPr>
              <w:pStyle w:val="NoSpacing"/>
              <w:tabs>
                <w:tab w:val="left" w:pos="2042"/>
              </w:tabs>
              <w:rPr>
                <w:sz w:val="24"/>
                <w:szCs w:val="24"/>
              </w:rPr>
            </w:pPr>
            <w:r w:rsidRPr="005D1BB3">
              <w:rPr>
                <w:sz w:val="24"/>
                <w:szCs w:val="24"/>
              </w:rPr>
              <w:t>3</w:t>
            </w:r>
          </w:p>
        </w:tc>
        <w:tc>
          <w:tcPr>
            <w:tcW w:w="1870" w:type="dxa"/>
          </w:tcPr>
          <w:p w14:paraId="0FB2ABBC" w14:textId="77777777" w:rsidR="00F71ADB" w:rsidRPr="005D1BB3" w:rsidRDefault="00946A5C" w:rsidP="007E28E9">
            <w:pPr>
              <w:pStyle w:val="NoSpacing"/>
              <w:tabs>
                <w:tab w:val="left" w:pos="2042"/>
              </w:tabs>
              <w:rPr>
                <w:sz w:val="24"/>
                <w:szCs w:val="24"/>
              </w:rPr>
            </w:pPr>
            <w:r>
              <w:rPr>
                <w:sz w:val="24"/>
                <w:szCs w:val="24"/>
              </w:rPr>
              <w:t>298</w:t>
            </w:r>
          </w:p>
        </w:tc>
        <w:tc>
          <w:tcPr>
            <w:tcW w:w="1870" w:type="dxa"/>
          </w:tcPr>
          <w:p w14:paraId="5472FD6C" w14:textId="77777777" w:rsidR="00F71ADB" w:rsidRPr="005D1BB3" w:rsidRDefault="00946A5C" w:rsidP="007E28E9">
            <w:pPr>
              <w:pStyle w:val="NoSpacing"/>
              <w:tabs>
                <w:tab w:val="left" w:pos="2042"/>
              </w:tabs>
              <w:rPr>
                <w:sz w:val="24"/>
                <w:szCs w:val="24"/>
              </w:rPr>
            </w:pPr>
            <w:r>
              <w:rPr>
                <w:sz w:val="24"/>
                <w:szCs w:val="24"/>
              </w:rPr>
              <w:t>203</w:t>
            </w:r>
          </w:p>
        </w:tc>
        <w:tc>
          <w:tcPr>
            <w:tcW w:w="1870" w:type="dxa"/>
          </w:tcPr>
          <w:p w14:paraId="5A7105EE" w14:textId="77777777" w:rsidR="00F71ADB" w:rsidRPr="005D1BB3" w:rsidRDefault="00946A5C" w:rsidP="007E28E9">
            <w:pPr>
              <w:pStyle w:val="NoSpacing"/>
              <w:tabs>
                <w:tab w:val="left" w:pos="2042"/>
              </w:tabs>
              <w:rPr>
                <w:sz w:val="24"/>
                <w:szCs w:val="24"/>
              </w:rPr>
            </w:pPr>
            <w:r>
              <w:rPr>
                <w:sz w:val="24"/>
                <w:szCs w:val="24"/>
              </w:rPr>
              <w:t>0.68</w:t>
            </w:r>
          </w:p>
        </w:tc>
      </w:tr>
      <w:tr w:rsidR="00F71ADB" w:rsidRPr="005D1BB3" w14:paraId="15E40509" w14:textId="77777777" w:rsidTr="0001210A">
        <w:tc>
          <w:tcPr>
            <w:tcW w:w="1870" w:type="dxa"/>
          </w:tcPr>
          <w:p w14:paraId="5D4B41D1" w14:textId="77777777" w:rsidR="00F71ADB" w:rsidRPr="005D1BB3" w:rsidRDefault="00F71ADB" w:rsidP="007E28E9">
            <w:pPr>
              <w:pStyle w:val="NoSpacing"/>
              <w:tabs>
                <w:tab w:val="left" w:pos="2042"/>
              </w:tabs>
              <w:rPr>
                <w:sz w:val="24"/>
                <w:szCs w:val="24"/>
              </w:rPr>
            </w:pPr>
            <w:r w:rsidRPr="005D1BB3">
              <w:rPr>
                <w:sz w:val="24"/>
                <w:szCs w:val="24"/>
              </w:rPr>
              <w:t>4</w:t>
            </w:r>
          </w:p>
        </w:tc>
        <w:tc>
          <w:tcPr>
            <w:tcW w:w="1870" w:type="dxa"/>
          </w:tcPr>
          <w:p w14:paraId="2B28D3B5" w14:textId="77777777" w:rsidR="00F71ADB" w:rsidRPr="005D1BB3" w:rsidRDefault="00946A5C" w:rsidP="007E28E9">
            <w:pPr>
              <w:pStyle w:val="NoSpacing"/>
              <w:tabs>
                <w:tab w:val="left" w:pos="2042"/>
              </w:tabs>
              <w:rPr>
                <w:sz w:val="24"/>
                <w:szCs w:val="24"/>
              </w:rPr>
            </w:pPr>
            <w:r>
              <w:rPr>
                <w:sz w:val="24"/>
                <w:szCs w:val="24"/>
              </w:rPr>
              <w:t>224</w:t>
            </w:r>
          </w:p>
        </w:tc>
        <w:tc>
          <w:tcPr>
            <w:tcW w:w="1870" w:type="dxa"/>
          </w:tcPr>
          <w:p w14:paraId="584E85FE" w14:textId="77777777" w:rsidR="00F71ADB" w:rsidRPr="005D1BB3" w:rsidRDefault="00946A5C" w:rsidP="007E28E9">
            <w:pPr>
              <w:pStyle w:val="NoSpacing"/>
              <w:tabs>
                <w:tab w:val="left" w:pos="2042"/>
              </w:tabs>
              <w:rPr>
                <w:sz w:val="24"/>
                <w:szCs w:val="24"/>
              </w:rPr>
            </w:pPr>
            <w:r>
              <w:rPr>
                <w:sz w:val="24"/>
                <w:szCs w:val="24"/>
              </w:rPr>
              <w:t>120</w:t>
            </w:r>
          </w:p>
        </w:tc>
        <w:tc>
          <w:tcPr>
            <w:tcW w:w="1870" w:type="dxa"/>
          </w:tcPr>
          <w:p w14:paraId="577746CD" w14:textId="77777777" w:rsidR="00F71ADB" w:rsidRPr="005D1BB3" w:rsidRDefault="00946A5C" w:rsidP="007E28E9">
            <w:pPr>
              <w:pStyle w:val="NoSpacing"/>
              <w:tabs>
                <w:tab w:val="left" w:pos="2042"/>
              </w:tabs>
              <w:rPr>
                <w:sz w:val="24"/>
                <w:szCs w:val="24"/>
              </w:rPr>
            </w:pPr>
            <w:r>
              <w:rPr>
                <w:sz w:val="24"/>
                <w:szCs w:val="24"/>
              </w:rPr>
              <w:t>0.40</w:t>
            </w:r>
          </w:p>
        </w:tc>
      </w:tr>
      <w:tr w:rsidR="00F71ADB" w:rsidRPr="005D1BB3" w14:paraId="6935762C" w14:textId="77777777" w:rsidTr="0001210A">
        <w:tc>
          <w:tcPr>
            <w:tcW w:w="1870" w:type="dxa"/>
          </w:tcPr>
          <w:p w14:paraId="67A1E696" w14:textId="77777777" w:rsidR="00F71ADB" w:rsidRPr="005D1BB3" w:rsidRDefault="00F71ADB" w:rsidP="007E28E9">
            <w:pPr>
              <w:pStyle w:val="NoSpacing"/>
              <w:tabs>
                <w:tab w:val="left" w:pos="2042"/>
              </w:tabs>
              <w:rPr>
                <w:sz w:val="24"/>
                <w:szCs w:val="24"/>
              </w:rPr>
            </w:pPr>
            <w:r w:rsidRPr="005D1BB3">
              <w:rPr>
                <w:sz w:val="24"/>
                <w:szCs w:val="24"/>
              </w:rPr>
              <w:t>5</w:t>
            </w:r>
          </w:p>
        </w:tc>
        <w:tc>
          <w:tcPr>
            <w:tcW w:w="1870" w:type="dxa"/>
          </w:tcPr>
          <w:p w14:paraId="4917EACC" w14:textId="77777777" w:rsidR="00F71ADB" w:rsidRPr="005D1BB3" w:rsidRDefault="00946A5C" w:rsidP="007E28E9">
            <w:pPr>
              <w:pStyle w:val="NoSpacing"/>
              <w:tabs>
                <w:tab w:val="left" w:pos="2042"/>
              </w:tabs>
              <w:rPr>
                <w:sz w:val="24"/>
                <w:szCs w:val="24"/>
              </w:rPr>
            </w:pPr>
            <w:r>
              <w:rPr>
                <w:sz w:val="24"/>
                <w:szCs w:val="24"/>
              </w:rPr>
              <w:t>395</w:t>
            </w:r>
          </w:p>
        </w:tc>
        <w:tc>
          <w:tcPr>
            <w:tcW w:w="1870" w:type="dxa"/>
          </w:tcPr>
          <w:p w14:paraId="359779F0" w14:textId="77777777" w:rsidR="00F71ADB" w:rsidRPr="005D1BB3" w:rsidRDefault="00946A5C" w:rsidP="007E28E9">
            <w:pPr>
              <w:pStyle w:val="NoSpacing"/>
              <w:tabs>
                <w:tab w:val="left" w:pos="2042"/>
              </w:tabs>
              <w:rPr>
                <w:sz w:val="24"/>
                <w:szCs w:val="24"/>
              </w:rPr>
            </w:pPr>
            <w:r>
              <w:rPr>
                <w:sz w:val="24"/>
                <w:szCs w:val="24"/>
              </w:rPr>
              <w:t>264</w:t>
            </w:r>
          </w:p>
        </w:tc>
        <w:tc>
          <w:tcPr>
            <w:tcW w:w="1870" w:type="dxa"/>
          </w:tcPr>
          <w:p w14:paraId="0F2DC043" w14:textId="77777777" w:rsidR="00F71ADB" w:rsidRPr="005D1BB3" w:rsidRDefault="00946A5C" w:rsidP="007E28E9">
            <w:pPr>
              <w:pStyle w:val="NoSpacing"/>
              <w:tabs>
                <w:tab w:val="left" w:pos="2042"/>
              </w:tabs>
              <w:rPr>
                <w:sz w:val="24"/>
                <w:szCs w:val="24"/>
              </w:rPr>
            </w:pPr>
            <w:r>
              <w:rPr>
                <w:sz w:val="24"/>
                <w:szCs w:val="24"/>
              </w:rPr>
              <w:t>0.67</w:t>
            </w:r>
          </w:p>
        </w:tc>
      </w:tr>
      <w:tr w:rsidR="00F71ADB" w:rsidRPr="005D1BB3" w14:paraId="489C02C7" w14:textId="77777777" w:rsidTr="0001210A">
        <w:tc>
          <w:tcPr>
            <w:tcW w:w="1870" w:type="dxa"/>
          </w:tcPr>
          <w:p w14:paraId="430359CA" w14:textId="77777777" w:rsidR="00F71ADB" w:rsidRPr="005D1BB3" w:rsidRDefault="00F71ADB" w:rsidP="007E28E9">
            <w:pPr>
              <w:pStyle w:val="NoSpacing"/>
              <w:tabs>
                <w:tab w:val="left" w:pos="2042"/>
              </w:tabs>
              <w:rPr>
                <w:sz w:val="24"/>
                <w:szCs w:val="24"/>
              </w:rPr>
            </w:pPr>
            <w:r w:rsidRPr="005D1BB3">
              <w:rPr>
                <w:sz w:val="24"/>
                <w:szCs w:val="24"/>
              </w:rPr>
              <w:t>6</w:t>
            </w:r>
          </w:p>
        </w:tc>
        <w:tc>
          <w:tcPr>
            <w:tcW w:w="1870" w:type="dxa"/>
          </w:tcPr>
          <w:p w14:paraId="7298721F" w14:textId="77777777" w:rsidR="00F71ADB" w:rsidRPr="005D1BB3" w:rsidRDefault="00946A5C" w:rsidP="007E28E9">
            <w:pPr>
              <w:pStyle w:val="NoSpacing"/>
              <w:tabs>
                <w:tab w:val="left" w:pos="2042"/>
              </w:tabs>
              <w:rPr>
                <w:sz w:val="24"/>
                <w:szCs w:val="24"/>
              </w:rPr>
            </w:pPr>
            <w:r>
              <w:rPr>
                <w:sz w:val="24"/>
                <w:szCs w:val="24"/>
              </w:rPr>
              <w:t>550</w:t>
            </w:r>
          </w:p>
        </w:tc>
        <w:tc>
          <w:tcPr>
            <w:tcW w:w="1870" w:type="dxa"/>
          </w:tcPr>
          <w:p w14:paraId="5D5F0400" w14:textId="77777777" w:rsidR="00F71ADB" w:rsidRPr="005D1BB3" w:rsidRDefault="00946A5C" w:rsidP="007E28E9">
            <w:pPr>
              <w:pStyle w:val="NoSpacing"/>
              <w:tabs>
                <w:tab w:val="left" w:pos="2042"/>
              </w:tabs>
              <w:rPr>
                <w:sz w:val="24"/>
                <w:szCs w:val="24"/>
              </w:rPr>
            </w:pPr>
            <w:r>
              <w:rPr>
                <w:sz w:val="24"/>
                <w:szCs w:val="24"/>
              </w:rPr>
              <w:t>472</w:t>
            </w:r>
          </w:p>
        </w:tc>
        <w:tc>
          <w:tcPr>
            <w:tcW w:w="1870" w:type="dxa"/>
          </w:tcPr>
          <w:p w14:paraId="21294DD7" w14:textId="77777777" w:rsidR="00F71ADB" w:rsidRPr="005D1BB3" w:rsidRDefault="00946A5C" w:rsidP="007E28E9">
            <w:pPr>
              <w:pStyle w:val="NoSpacing"/>
              <w:tabs>
                <w:tab w:val="left" w:pos="2042"/>
              </w:tabs>
              <w:rPr>
                <w:sz w:val="24"/>
                <w:szCs w:val="24"/>
              </w:rPr>
            </w:pPr>
            <w:r>
              <w:rPr>
                <w:sz w:val="24"/>
                <w:szCs w:val="24"/>
              </w:rPr>
              <w:t>0.86</w:t>
            </w:r>
          </w:p>
        </w:tc>
      </w:tr>
      <w:tr w:rsidR="00F71ADB" w:rsidRPr="005D1BB3" w14:paraId="3CD0321D" w14:textId="77777777" w:rsidTr="0001210A">
        <w:tc>
          <w:tcPr>
            <w:tcW w:w="1870" w:type="dxa"/>
          </w:tcPr>
          <w:p w14:paraId="242365AF" w14:textId="77777777" w:rsidR="00F71ADB" w:rsidRPr="005D1BB3" w:rsidRDefault="00F71ADB" w:rsidP="007E28E9">
            <w:pPr>
              <w:pStyle w:val="NoSpacing"/>
              <w:tabs>
                <w:tab w:val="left" w:pos="2042"/>
              </w:tabs>
              <w:rPr>
                <w:sz w:val="24"/>
                <w:szCs w:val="24"/>
              </w:rPr>
            </w:pPr>
            <w:r w:rsidRPr="005D1BB3">
              <w:rPr>
                <w:sz w:val="24"/>
                <w:szCs w:val="24"/>
              </w:rPr>
              <w:t>7</w:t>
            </w:r>
          </w:p>
        </w:tc>
        <w:tc>
          <w:tcPr>
            <w:tcW w:w="1870" w:type="dxa"/>
          </w:tcPr>
          <w:p w14:paraId="7D00B8CC" w14:textId="77777777" w:rsidR="00F71ADB" w:rsidRPr="005D1BB3" w:rsidRDefault="00946A5C" w:rsidP="007E28E9">
            <w:pPr>
              <w:pStyle w:val="NoSpacing"/>
              <w:tabs>
                <w:tab w:val="left" w:pos="2042"/>
              </w:tabs>
              <w:rPr>
                <w:sz w:val="24"/>
                <w:szCs w:val="24"/>
              </w:rPr>
            </w:pPr>
            <w:r>
              <w:rPr>
                <w:sz w:val="24"/>
                <w:szCs w:val="24"/>
              </w:rPr>
              <w:t>222</w:t>
            </w:r>
          </w:p>
        </w:tc>
        <w:tc>
          <w:tcPr>
            <w:tcW w:w="1870" w:type="dxa"/>
          </w:tcPr>
          <w:p w14:paraId="1FBE5C3A" w14:textId="77777777" w:rsidR="00F71ADB" w:rsidRPr="005D1BB3" w:rsidRDefault="00946A5C" w:rsidP="007E28E9">
            <w:pPr>
              <w:pStyle w:val="NoSpacing"/>
              <w:tabs>
                <w:tab w:val="left" w:pos="2042"/>
              </w:tabs>
              <w:rPr>
                <w:sz w:val="24"/>
                <w:szCs w:val="24"/>
              </w:rPr>
            </w:pPr>
            <w:r>
              <w:rPr>
                <w:sz w:val="24"/>
                <w:szCs w:val="24"/>
              </w:rPr>
              <w:t>142</w:t>
            </w:r>
          </w:p>
        </w:tc>
        <w:tc>
          <w:tcPr>
            <w:tcW w:w="1870" w:type="dxa"/>
          </w:tcPr>
          <w:p w14:paraId="64E4E91F" w14:textId="77777777" w:rsidR="00F71ADB" w:rsidRPr="005D1BB3" w:rsidRDefault="00946A5C" w:rsidP="007E28E9">
            <w:pPr>
              <w:pStyle w:val="NoSpacing"/>
              <w:tabs>
                <w:tab w:val="left" w:pos="2042"/>
              </w:tabs>
              <w:rPr>
                <w:sz w:val="24"/>
                <w:szCs w:val="24"/>
              </w:rPr>
            </w:pPr>
            <w:r>
              <w:rPr>
                <w:sz w:val="24"/>
                <w:szCs w:val="24"/>
              </w:rPr>
              <w:t>0.64</w:t>
            </w:r>
          </w:p>
        </w:tc>
      </w:tr>
      <w:tr w:rsidR="00F71ADB" w:rsidRPr="005D1BB3" w14:paraId="0AEF5895" w14:textId="77777777" w:rsidTr="0001210A">
        <w:tc>
          <w:tcPr>
            <w:tcW w:w="1870" w:type="dxa"/>
          </w:tcPr>
          <w:p w14:paraId="1A1F52F0" w14:textId="77777777" w:rsidR="00F71ADB" w:rsidRPr="005D1BB3" w:rsidRDefault="00F71ADB" w:rsidP="007E28E9">
            <w:pPr>
              <w:pStyle w:val="NoSpacing"/>
              <w:tabs>
                <w:tab w:val="left" w:pos="2042"/>
              </w:tabs>
              <w:rPr>
                <w:sz w:val="24"/>
                <w:szCs w:val="24"/>
              </w:rPr>
            </w:pPr>
            <w:r w:rsidRPr="005D1BB3">
              <w:rPr>
                <w:sz w:val="24"/>
                <w:szCs w:val="24"/>
              </w:rPr>
              <w:t>8</w:t>
            </w:r>
          </w:p>
        </w:tc>
        <w:tc>
          <w:tcPr>
            <w:tcW w:w="1870" w:type="dxa"/>
          </w:tcPr>
          <w:p w14:paraId="3EBD70D8" w14:textId="77777777" w:rsidR="00F71ADB" w:rsidRPr="005D1BB3" w:rsidRDefault="00946A5C" w:rsidP="007E28E9">
            <w:pPr>
              <w:pStyle w:val="NoSpacing"/>
              <w:tabs>
                <w:tab w:val="left" w:pos="2042"/>
              </w:tabs>
              <w:rPr>
                <w:sz w:val="24"/>
                <w:szCs w:val="24"/>
              </w:rPr>
            </w:pPr>
            <w:r>
              <w:rPr>
                <w:sz w:val="24"/>
                <w:szCs w:val="24"/>
              </w:rPr>
              <w:t>482</w:t>
            </w:r>
          </w:p>
        </w:tc>
        <w:tc>
          <w:tcPr>
            <w:tcW w:w="1870" w:type="dxa"/>
          </w:tcPr>
          <w:p w14:paraId="049ED607" w14:textId="77777777" w:rsidR="00F71ADB" w:rsidRPr="005D1BB3" w:rsidRDefault="00946A5C" w:rsidP="007E28E9">
            <w:pPr>
              <w:pStyle w:val="NoSpacing"/>
              <w:tabs>
                <w:tab w:val="left" w:pos="2042"/>
              </w:tabs>
              <w:rPr>
                <w:sz w:val="24"/>
                <w:szCs w:val="24"/>
              </w:rPr>
            </w:pPr>
            <w:r>
              <w:rPr>
                <w:sz w:val="24"/>
                <w:szCs w:val="24"/>
              </w:rPr>
              <w:t>385</w:t>
            </w:r>
          </w:p>
        </w:tc>
        <w:tc>
          <w:tcPr>
            <w:tcW w:w="1870" w:type="dxa"/>
          </w:tcPr>
          <w:p w14:paraId="5C858FED" w14:textId="77777777" w:rsidR="00F71ADB" w:rsidRPr="005D1BB3" w:rsidRDefault="00946A5C" w:rsidP="007E28E9">
            <w:pPr>
              <w:pStyle w:val="NoSpacing"/>
              <w:tabs>
                <w:tab w:val="left" w:pos="2042"/>
              </w:tabs>
              <w:rPr>
                <w:sz w:val="24"/>
                <w:szCs w:val="24"/>
              </w:rPr>
            </w:pPr>
            <w:r>
              <w:rPr>
                <w:sz w:val="24"/>
                <w:szCs w:val="24"/>
              </w:rPr>
              <w:t>0.80</w:t>
            </w:r>
          </w:p>
        </w:tc>
      </w:tr>
      <w:tr w:rsidR="00F71ADB" w:rsidRPr="005D1BB3" w14:paraId="0838CBA7" w14:textId="77777777" w:rsidTr="0001210A">
        <w:tc>
          <w:tcPr>
            <w:tcW w:w="1870" w:type="dxa"/>
          </w:tcPr>
          <w:p w14:paraId="1B260BAC" w14:textId="77777777" w:rsidR="00F71ADB" w:rsidRPr="005D1BB3" w:rsidRDefault="00F71ADB" w:rsidP="007E28E9">
            <w:pPr>
              <w:pStyle w:val="NoSpacing"/>
              <w:tabs>
                <w:tab w:val="left" w:pos="2042"/>
              </w:tabs>
              <w:rPr>
                <w:sz w:val="24"/>
                <w:szCs w:val="24"/>
              </w:rPr>
            </w:pPr>
            <w:r w:rsidRPr="005D1BB3">
              <w:rPr>
                <w:sz w:val="24"/>
                <w:szCs w:val="24"/>
              </w:rPr>
              <w:t>9</w:t>
            </w:r>
          </w:p>
        </w:tc>
        <w:tc>
          <w:tcPr>
            <w:tcW w:w="1870" w:type="dxa"/>
          </w:tcPr>
          <w:p w14:paraId="1D9A7A29" w14:textId="77777777" w:rsidR="00F71ADB" w:rsidRPr="005D1BB3" w:rsidRDefault="00946A5C" w:rsidP="007E28E9">
            <w:pPr>
              <w:pStyle w:val="NoSpacing"/>
              <w:tabs>
                <w:tab w:val="left" w:pos="2042"/>
              </w:tabs>
              <w:rPr>
                <w:sz w:val="24"/>
                <w:szCs w:val="24"/>
              </w:rPr>
            </w:pPr>
            <w:r>
              <w:rPr>
                <w:sz w:val="24"/>
                <w:szCs w:val="24"/>
              </w:rPr>
              <w:t>509</w:t>
            </w:r>
          </w:p>
        </w:tc>
        <w:tc>
          <w:tcPr>
            <w:tcW w:w="1870" w:type="dxa"/>
          </w:tcPr>
          <w:p w14:paraId="4A4D44F8" w14:textId="77777777" w:rsidR="00F71ADB" w:rsidRPr="005D1BB3" w:rsidRDefault="00946A5C" w:rsidP="007E28E9">
            <w:pPr>
              <w:pStyle w:val="NoSpacing"/>
              <w:tabs>
                <w:tab w:val="left" w:pos="2042"/>
              </w:tabs>
              <w:rPr>
                <w:sz w:val="24"/>
                <w:szCs w:val="24"/>
              </w:rPr>
            </w:pPr>
            <w:r>
              <w:rPr>
                <w:sz w:val="24"/>
                <w:szCs w:val="24"/>
              </w:rPr>
              <w:t>293</w:t>
            </w:r>
          </w:p>
        </w:tc>
        <w:tc>
          <w:tcPr>
            <w:tcW w:w="1870" w:type="dxa"/>
          </w:tcPr>
          <w:p w14:paraId="115BC247" w14:textId="77777777" w:rsidR="00F71ADB" w:rsidRPr="005D1BB3" w:rsidRDefault="00946A5C" w:rsidP="007E28E9">
            <w:pPr>
              <w:pStyle w:val="NoSpacing"/>
              <w:tabs>
                <w:tab w:val="left" w:pos="2042"/>
              </w:tabs>
              <w:rPr>
                <w:sz w:val="24"/>
                <w:szCs w:val="24"/>
              </w:rPr>
            </w:pPr>
            <w:r>
              <w:rPr>
                <w:sz w:val="24"/>
                <w:szCs w:val="24"/>
              </w:rPr>
              <w:t>0.58</w:t>
            </w:r>
          </w:p>
        </w:tc>
      </w:tr>
      <w:tr w:rsidR="00F71ADB" w:rsidRPr="005D1BB3" w14:paraId="3F94C3E7" w14:textId="77777777" w:rsidTr="0001210A">
        <w:tc>
          <w:tcPr>
            <w:tcW w:w="1870" w:type="dxa"/>
          </w:tcPr>
          <w:p w14:paraId="05E97F71" w14:textId="77777777" w:rsidR="00F71ADB" w:rsidRPr="005D1BB3" w:rsidRDefault="00F71ADB" w:rsidP="007E28E9">
            <w:pPr>
              <w:pStyle w:val="NoSpacing"/>
              <w:tabs>
                <w:tab w:val="left" w:pos="2042"/>
              </w:tabs>
              <w:rPr>
                <w:sz w:val="24"/>
                <w:szCs w:val="24"/>
              </w:rPr>
            </w:pPr>
            <w:r w:rsidRPr="005D1BB3">
              <w:rPr>
                <w:sz w:val="24"/>
                <w:szCs w:val="24"/>
              </w:rPr>
              <w:t>10</w:t>
            </w:r>
          </w:p>
        </w:tc>
        <w:tc>
          <w:tcPr>
            <w:tcW w:w="1870" w:type="dxa"/>
          </w:tcPr>
          <w:p w14:paraId="69CAC73F" w14:textId="77777777" w:rsidR="00F71ADB" w:rsidRPr="005D1BB3" w:rsidRDefault="00946A5C" w:rsidP="007E28E9">
            <w:pPr>
              <w:pStyle w:val="NoSpacing"/>
              <w:tabs>
                <w:tab w:val="left" w:pos="2042"/>
              </w:tabs>
              <w:rPr>
                <w:sz w:val="24"/>
                <w:szCs w:val="24"/>
              </w:rPr>
            </w:pPr>
            <w:r>
              <w:rPr>
                <w:sz w:val="24"/>
                <w:szCs w:val="24"/>
              </w:rPr>
              <w:t>169</w:t>
            </w:r>
          </w:p>
        </w:tc>
        <w:tc>
          <w:tcPr>
            <w:tcW w:w="1870" w:type="dxa"/>
          </w:tcPr>
          <w:p w14:paraId="234ABABE" w14:textId="77777777" w:rsidR="00F71ADB" w:rsidRPr="005D1BB3" w:rsidRDefault="00946A5C" w:rsidP="007E28E9">
            <w:pPr>
              <w:pStyle w:val="NoSpacing"/>
              <w:tabs>
                <w:tab w:val="left" w:pos="2042"/>
              </w:tabs>
              <w:rPr>
                <w:sz w:val="24"/>
                <w:szCs w:val="24"/>
              </w:rPr>
            </w:pPr>
            <w:r>
              <w:rPr>
                <w:sz w:val="24"/>
                <w:szCs w:val="24"/>
              </w:rPr>
              <w:t>144</w:t>
            </w:r>
          </w:p>
        </w:tc>
        <w:tc>
          <w:tcPr>
            <w:tcW w:w="1870" w:type="dxa"/>
          </w:tcPr>
          <w:p w14:paraId="04EAD25C" w14:textId="77777777" w:rsidR="00F71ADB" w:rsidRPr="005D1BB3" w:rsidRDefault="00946A5C" w:rsidP="007E28E9">
            <w:pPr>
              <w:pStyle w:val="NoSpacing"/>
              <w:tabs>
                <w:tab w:val="left" w:pos="2042"/>
              </w:tabs>
              <w:rPr>
                <w:sz w:val="24"/>
                <w:szCs w:val="24"/>
              </w:rPr>
            </w:pPr>
            <w:r>
              <w:rPr>
                <w:sz w:val="24"/>
                <w:szCs w:val="24"/>
              </w:rPr>
              <w:t>0.85</w:t>
            </w:r>
          </w:p>
        </w:tc>
      </w:tr>
      <w:tr w:rsidR="005D7B76" w:rsidRPr="005D1BB3" w14:paraId="42828BAE" w14:textId="77777777" w:rsidTr="0001210A">
        <w:tc>
          <w:tcPr>
            <w:tcW w:w="1870" w:type="dxa"/>
          </w:tcPr>
          <w:p w14:paraId="492C3C66" w14:textId="77777777" w:rsidR="005D7B76" w:rsidRPr="005D1BB3" w:rsidRDefault="005D7B76" w:rsidP="007E28E9">
            <w:pPr>
              <w:pStyle w:val="NoSpacing"/>
              <w:tabs>
                <w:tab w:val="left" w:pos="2042"/>
              </w:tabs>
              <w:rPr>
                <w:sz w:val="24"/>
                <w:szCs w:val="24"/>
              </w:rPr>
            </w:pPr>
            <w:r>
              <w:rPr>
                <w:sz w:val="24"/>
                <w:szCs w:val="24"/>
              </w:rPr>
              <w:t>Total</w:t>
            </w:r>
          </w:p>
        </w:tc>
        <w:tc>
          <w:tcPr>
            <w:tcW w:w="1870" w:type="dxa"/>
          </w:tcPr>
          <w:p w14:paraId="4115F9D5" w14:textId="77777777" w:rsidR="005D7B76" w:rsidRPr="005D1BB3" w:rsidRDefault="00946A5C" w:rsidP="007E28E9">
            <w:pPr>
              <w:pStyle w:val="NoSpacing"/>
              <w:tabs>
                <w:tab w:val="left" w:pos="2042"/>
              </w:tabs>
              <w:rPr>
                <w:sz w:val="24"/>
                <w:szCs w:val="24"/>
              </w:rPr>
            </w:pPr>
            <w:r>
              <w:rPr>
                <w:sz w:val="24"/>
                <w:szCs w:val="24"/>
              </w:rPr>
              <w:t>4095</w:t>
            </w:r>
          </w:p>
        </w:tc>
        <w:tc>
          <w:tcPr>
            <w:tcW w:w="1870" w:type="dxa"/>
          </w:tcPr>
          <w:p w14:paraId="031E45FC" w14:textId="77777777" w:rsidR="005D7B76" w:rsidRPr="005D1BB3" w:rsidRDefault="00946A5C" w:rsidP="007E28E9">
            <w:pPr>
              <w:pStyle w:val="NoSpacing"/>
              <w:tabs>
                <w:tab w:val="left" w:pos="2042"/>
              </w:tabs>
              <w:rPr>
                <w:sz w:val="24"/>
                <w:szCs w:val="24"/>
              </w:rPr>
            </w:pPr>
            <w:r>
              <w:rPr>
                <w:sz w:val="24"/>
                <w:szCs w:val="24"/>
              </w:rPr>
              <w:t>2716</w:t>
            </w:r>
          </w:p>
        </w:tc>
        <w:tc>
          <w:tcPr>
            <w:tcW w:w="1870" w:type="dxa"/>
          </w:tcPr>
          <w:p w14:paraId="3B6F93B6" w14:textId="77777777" w:rsidR="005D7B76" w:rsidRPr="005D1BB3" w:rsidRDefault="00946A5C" w:rsidP="007E28E9">
            <w:pPr>
              <w:pStyle w:val="NoSpacing"/>
              <w:tabs>
                <w:tab w:val="left" w:pos="2042"/>
              </w:tabs>
              <w:rPr>
                <w:sz w:val="24"/>
                <w:szCs w:val="24"/>
              </w:rPr>
            </w:pPr>
            <w:r>
              <w:rPr>
                <w:sz w:val="24"/>
                <w:szCs w:val="24"/>
              </w:rPr>
              <w:t>0.66</w:t>
            </w:r>
          </w:p>
        </w:tc>
      </w:tr>
    </w:tbl>
    <w:p w14:paraId="25356588" w14:textId="77777777" w:rsidR="0001210A" w:rsidRDefault="0001210A" w:rsidP="007E28E9">
      <w:pPr>
        <w:pStyle w:val="NoSpacing"/>
        <w:tabs>
          <w:tab w:val="left" w:pos="2042"/>
        </w:tabs>
        <w:rPr>
          <w:sz w:val="24"/>
          <w:szCs w:val="24"/>
        </w:rPr>
      </w:pPr>
    </w:p>
    <w:p w14:paraId="5953CD05" w14:textId="155A916D" w:rsidR="00B05BD8" w:rsidRDefault="00B05BD8" w:rsidP="007E28E9">
      <w:pPr>
        <w:pStyle w:val="NoSpacing"/>
        <w:tabs>
          <w:tab w:val="left" w:pos="2042"/>
        </w:tabs>
        <w:rPr>
          <w:sz w:val="24"/>
          <w:szCs w:val="24"/>
        </w:rPr>
      </w:pPr>
      <w:r>
        <w:rPr>
          <w:sz w:val="24"/>
          <w:szCs w:val="24"/>
        </w:rPr>
        <w:t>This table shows the number of foster care beds compared with the number of children in care in each area and the ratio of foster home beds to children.   The data clearly underscore the need for significant numbers of additional foster homes.</w:t>
      </w:r>
    </w:p>
    <w:p w14:paraId="7EED1580" w14:textId="77777777" w:rsidR="00B05BD8" w:rsidRPr="005D1BB3" w:rsidRDefault="00B05BD8" w:rsidP="007E28E9">
      <w:pPr>
        <w:pStyle w:val="NoSpacing"/>
        <w:tabs>
          <w:tab w:val="left" w:pos="2042"/>
        </w:tabs>
        <w:rPr>
          <w:sz w:val="24"/>
          <w:szCs w:val="24"/>
        </w:rPr>
      </w:pPr>
    </w:p>
    <w:p w14:paraId="0C84EBA6" w14:textId="77777777" w:rsidR="00F37C11" w:rsidRDefault="00937543" w:rsidP="007E28E9">
      <w:pPr>
        <w:pStyle w:val="NoSpacing"/>
        <w:tabs>
          <w:tab w:val="left" w:pos="2042"/>
        </w:tabs>
        <w:rPr>
          <w:b/>
          <w:i/>
          <w:sz w:val="24"/>
          <w:szCs w:val="24"/>
        </w:rPr>
      </w:pPr>
      <w:r w:rsidRPr="005D1BB3">
        <w:rPr>
          <w:b/>
          <w:i/>
          <w:sz w:val="24"/>
          <w:szCs w:val="24"/>
        </w:rPr>
        <w:t>Length of Stay in Care</w:t>
      </w:r>
      <w:r w:rsidR="00CA5D53">
        <w:rPr>
          <w:b/>
          <w:i/>
          <w:sz w:val="24"/>
          <w:szCs w:val="24"/>
        </w:rPr>
        <w:t xml:space="preserve"> 2</w:t>
      </w:r>
      <w:r w:rsidR="00CA5D53" w:rsidRPr="00CA5D53">
        <w:rPr>
          <w:b/>
          <w:i/>
          <w:sz w:val="24"/>
          <w:szCs w:val="24"/>
          <w:vertAlign w:val="superscript"/>
        </w:rPr>
        <w:t>ND</w:t>
      </w:r>
      <w:r w:rsidR="00CA5D53">
        <w:rPr>
          <w:b/>
          <w:i/>
          <w:sz w:val="24"/>
          <w:szCs w:val="24"/>
        </w:rPr>
        <w:t xml:space="preserve"> </w:t>
      </w:r>
      <w:r w:rsidR="00FB52F5">
        <w:rPr>
          <w:b/>
          <w:i/>
          <w:sz w:val="24"/>
          <w:szCs w:val="24"/>
        </w:rPr>
        <w:t xml:space="preserve">FY 15 </w:t>
      </w:r>
      <w:r w:rsidR="00CA5D53">
        <w:rPr>
          <w:b/>
          <w:i/>
          <w:sz w:val="24"/>
          <w:szCs w:val="24"/>
        </w:rPr>
        <w:t>QTR Annually</w:t>
      </w:r>
    </w:p>
    <w:p w14:paraId="6250FF97" w14:textId="77777777" w:rsidR="006F495F" w:rsidRDefault="006F495F" w:rsidP="007E28E9">
      <w:pPr>
        <w:pStyle w:val="NoSpacing"/>
        <w:tabs>
          <w:tab w:val="left" w:pos="2042"/>
        </w:tabs>
        <w:rPr>
          <w:b/>
          <w:i/>
          <w:sz w:val="24"/>
          <w:szCs w:val="24"/>
        </w:rPr>
      </w:pPr>
    </w:p>
    <w:tbl>
      <w:tblPr>
        <w:tblW w:w="6940" w:type="dxa"/>
        <w:tblLayout w:type="fixed"/>
        <w:tblLook w:val="04A0" w:firstRow="1" w:lastRow="0" w:firstColumn="1" w:lastColumn="0" w:noHBand="0" w:noVBand="1"/>
      </w:tblPr>
      <w:tblGrid>
        <w:gridCol w:w="1340"/>
        <w:gridCol w:w="1120"/>
        <w:gridCol w:w="1120"/>
        <w:gridCol w:w="1120"/>
        <w:gridCol w:w="1120"/>
        <w:gridCol w:w="1120"/>
      </w:tblGrid>
      <w:tr w:rsidR="006F495F" w:rsidRPr="003E5D10" w14:paraId="7EE18F34" w14:textId="77777777" w:rsidTr="00EE1DCA">
        <w:trPr>
          <w:trHeight w:val="330"/>
        </w:trPr>
        <w:tc>
          <w:tcPr>
            <w:tcW w:w="6940" w:type="dxa"/>
            <w:gridSpan w:val="6"/>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586A3E36" w14:textId="77777777" w:rsidR="006F495F" w:rsidRPr="003E5D10" w:rsidRDefault="006F495F" w:rsidP="00EE1DCA">
            <w:pPr>
              <w:spacing w:after="0" w:line="240" w:lineRule="auto"/>
              <w:jc w:val="center"/>
              <w:rPr>
                <w:rFonts w:ascii="Calibri" w:eastAsia="Times New Roman" w:hAnsi="Calibri" w:cs="Times New Roman"/>
                <w:b/>
                <w:bCs/>
                <w:color w:val="FFFFFF"/>
                <w:sz w:val="24"/>
                <w:szCs w:val="24"/>
              </w:rPr>
            </w:pPr>
            <w:r w:rsidRPr="003E5D10">
              <w:rPr>
                <w:rFonts w:ascii="Calibri" w:eastAsia="Times New Roman" w:hAnsi="Calibri" w:cs="Times New Roman"/>
                <w:b/>
                <w:bCs/>
                <w:color w:val="FFFFFF"/>
                <w:sz w:val="24"/>
                <w:szCs w:val="24"/>
              </w:rPr>
              <w:t>Length of Time in Care</w:t>
            </w:r>
          </w:p>
        </w:tc>
      </w:tr>
      <w:tr w:rsidR="006F495F" w:rsidRPr="003E5D10" w14:paraId="76E1E26C" w14:textId="77777777" w:rsidTr="00EE1DCA">
        <w:trPr>
          <w:trHeight w:val="660"/>
        </w:trPr>
        <w:tc>
          <w:tcPr>
            <w:tcW w:w="1340" w:type="dxa"/>
            <w:tcBorders>
              <w:top w:val="nil"/>
              <w:left w:val="single" w:sz="8" w:space="0" w:color="auto"/>
              <w:bottom w:val="nil"/>
              <w:right w:val="single" w:sz="4" w:space="0" w:color="auto"/>
            </w:tcBorders>
            <w:shd w:val="clear" w:color="000000" w:fill="F2F2F2"/>
            <w:vAlign w:val="center"/>
            <w:hideMark/>
          </w:tcPr>
          <w:p w14:paraId="2E3FCC2E" w14:textId="77777777" w:rsidR="006F495F" w:rsidRPr="003E5D10" w:rsidRDefault="006F495F" w:rsidP="00EE1DCA">
            <w:pPr>
              <w:spacing w:after="0" w:line="240" w:lineRule="auto"/>
              <w:jc w:val="center"/>
              <w:rPr>
                <w:rFonts w:ascii="Calibri" w:eastAsia="Times New Roman" w:hAnsi="Calibri" w:cs="Times New Roman"/>
                <w:b/>
                <w:bCs/>
                <w:color w:val="000000"/>
              </w:rPr>
            </w:pPr>
            <w:r w:rsidRPr="003E5D10">
              <w:rPr>
                <w:rFonts w:ascii="Calibri" w:eastAsia="Times New Roman" w:hAnsi="Calibri" w:cs="Times New Roman"/>
                <w:b/>
                <w:bCs/>
                <w:color w:val="000000"/>
              </w:rPr>
              <w:t>Length of Stay</w:t>
            </w:r>
          </w:p>
        </w:tc>
        <w:tc>
          <w:tcPr>
            <w:tcW w:w="1120" w:type="dxa"/>
            <w:tcBorders>
              <w:top w:val="nil"/>
              <w:left w:val="nil"/>
              <w:bottom w:val="nil"/>
              <w:right w:val="single" w:sz="4" w:space="0" w:color="auto"/>
            </w:tcBorders>
            <w:shd w:val="clear" w:color="000000" w:fill="F2F2F2"/>
            <w:vAlign w:val="center"/>
            <w:hideMark/>
          </w:tcPr>
          <w:p w14:paraId="6088D827" w14:textId="77777777" w:rsidR="006F495F" w:rsidRPr="003E5D10" w:rsidRDefault="006F495F" w:rsidP="00EE1DCA">
            <w:pPr>
              <w:spacing w:after="0" w:line="240" w:lineRule="auto"/>
              <w:jc w:val="center"/>
              <w:rPr>
                <w:rFonts w:ascii="Calibri" w:eastAsia="Times New Roman" w:hAnsi="Calibri" w:cs="Times New Roman"/>
                <w:b/>
                <w:bCs/>
                <w:color w:val="000000"/>
              </w:rPr>
            </w:pPr>
            <w:r w:rsidRPr="003E5D10">
              <w:rPr>
                <w:rFonts w:ascii="Calibri" w:eastAsia="Times New Roman" w:hAnsi="Calibri" w:cs="Times New Roman"/>
                <w:b/>
                <w:bCs/>
                <w:color w:val="000000"/>
              </w:rPr>
              <w:t>2</w:t>
            </w:r>
            <w:r w:rsidRPr="003E5D10">
              <w:rPr>
                <w:rFonts w:ascii="Calibri" w:eastAsia="Times New Roman" w:hAnsi="Calibri" w:cs="Times New Roman"/>
                <w:b/>
                <w:bCs/>
                <w:color w:val="000000"/>
                <w:vertAlign w:val="superscript"/>
              </w:rPr>
              <w:t>nd</w:t>
            </w:r>
            <w:r w:rsidRPr="003E5D10">
              <w:rPr>
                <w:rFonts w:ascii="Calibri" w:eastAsia="Times New Roman" w:hAnsi="Calibri" w:cs="Times New Roman"/>
                <w:b/>
                <w:bCs/>
                <w:color w:val="000000"/>
              </w:rPr>
              <w:t xml:space="preserve"> QTR SFY 2011</w:t>
            </w:r>
          </w:p>
        </w:tc>
        <w:tc>
          <w:tcPr>
            <w:tcW w:w="1120" w:type="dxa"/>
            <w:tcBorders>
              <w:top w:val="nil"/>
              <w:left w:val="nil"/>
              <w:bottom w:val="nil"/>
              <w:right w:val="single" w:sz="4" w:space="0" w:color="auto"/>
            </w:tcBorders>
            <w:shd w:val="clear" w:color="000000" w:fill="F2F2F2"/>
            <w:vAlign w:val="center"/>
            <w:hideMark/>
          </w:tcPr>
          <w:p w14:paraId="7CD92908" w14:textId="77777777" w:rsidR="006F495F" w:rsidRPr="003E5D10" w:rsidRDefault="006F495F" w:rsidP="00EE1DCA">
            <w:pPr>
              <w:spacing w:after="0" w:line="240" w:lineRule="auto"/>
              <w:jc w:val="center"/>
              <w:rPr>
                <w:rFonts w:ascii="Calibri" w:eastAsia="Times New Roman" w:hAnsi="Calibri" w:cs="Times New Roman"/>
                <w:b/>
                <w:bCs/>
                <w:color w:val="000000"/>
              </w:rPr>
            </w:pPr>
            <w:r w:rsidRPr="003E5D10">
              <w:rPr>
                <w:rFonts w:ascii="Calibri" w:eastAsia="Times New Roman" w:hAnsi="Calibri" w:cs="Times New Roman"/>
                <w:b/>
                <w:bCs/>
                <w:color w:val="000000"/>
              </w:rPr>
              <w:t>2</w:t>
            </w:r>
            <w:r w:rsidRPr="003E5D10">
              <w:rPr>
                <w:rFonts w:ascii="Calibri" w:eastAsia="Times New Roman" w:hAnsi="Calibri" w:cs="Times New Roman"/>
                <w:b/>
                <w:bCs/>
                <w:color w:val="000000"/>
                <w:vertAlign w:val="superscript"/>
              </w:rPr>
              <w:t>nd</w:t>
            </w:r>
            <w:r w:rsidRPr="003E5D10">
              <w:rPr>
                <w:rFonts w:ascii="Calibri" w:eastAsia="Times New Roman" w:hAnsi="Calibri" w:cs="Times New Roman"/>
                <w:b/>
                <w:bCs/>
                <w:color w:val="000000"/>
              </w:rPr>
              <w:t xml:space="preserve"> QTR SFY 2012</w:t>
            </w:r>
          </w:p>
        </w:tc>
        <w:tc>
          <w:tcPr>
            <w:tcW w:w="1120" w:type="dxa"/>
            <w:tcBorders>
              <w:top w:val="nil"/>
              <w:left w:val="nil"/>
              <w:bottom w:val="nil"/>
              <w:right w:val="single" w:sz="4" w:space="0" w:color="auto"/>
            </w:tcBorders>
            <w:shd w:val="clear" w:color="000000" w:fill="F2F2F2"/>
            <w:vAlign w:val="center"/>
            <w:hideMark/>
          </w:tcPr>
          <w:p w14:paraId="32080215" w14:textId="77777777" w:rsidR="006F495F" w:rsidRPr="003E5D10" w:rsidRDefault="006F495F" w:rsidP="00EE1DCA">
            <w:pPr>
              <w:spacing w:after="0" w:line="240" w:lineRule="auto"/>
              <w:jc w:val="center"/>
              <w:rPr>
                <w:rFonts w:ascii="Calibri" w:eastAsia="Times New Roman" w:hAnsi="Calibri" w:cs="Times New Roman"/>
                <w:b/>
                <w:bCs/>
                <w:color w:val="000000"/>
              </w:rPr>
            </w:pPr>
            <w:r w:rsidRPr="003E5D10">
              <w:rPr>
                <w:rFonts w:ascii="Calibri" w:eastAsia="Times New Roman" w:hAnsi="Calibri" w:cs="Times New Roman"/>
                <w:b/>
                <w:bCs/>
                <w:color w:val="000000"/>
              </w:rPr>
              <w:t>2</w:t>
            </w:r>
            <w:r w:rsidRPr="003E5D10">
              <w:rPr>
                <w:rFonts w:ascii="Calibri" w:eastAsia="Times New Roman" w:hAnsi="Calibri" w:cs="Times New Roman"/>
                <w:b/>
                <w:bCs/>
                <w:color w:val="000000"/>
                <w:vertAlign w:val="superscript"/>
              </w:rPr>
              <w:t>nd</w:t>
            </w:r>
            <w:r w:rsidRPr="003E5D10">
              <w:rPr>
                <w:rFonts w:ascii="Calibri" w:eastAsia="Times New Roman" w:hAnsi="Calibri" w:cs="Times New Roman"/>
                <w:b/>
                <w:bCs/>
                <w:color w:val="000000"/>
              </w:rPr>
              <w:t xml:space="preserve"> QTR SFY 2013</w:t>
            </w:r>
          </w:p>
        </w:tc>
        <w:tc>
          <w:tcPr>
            <w:tcW w:w="1120" w:type="dxa"/>
            <w:tcBorders>
              <w:top w:val="nil"/>
              <w:left w:val="nil"/>
              <w:bottom w:val="nil"/>
              <w:right w:val="single" w:sz="4" w:space="0" w:color="auto"/>
            </w:tcBorders>
            <w:shd w:val="clear" w:color="000000" w:fill="F2F2F2"/>
            <w:vAlign w:val="center"/>
            <w:hideMark/>
          </w:tcPr>
          <w:p w14:paraId="7844A1F0" w14:textId="77777777" w:rsidR="006F495F" w:rsidRPr="003E5D10" w:rsidRDefault="006F495F" w:rsidP="00EE1DCA">
            <w:pPr>
              <w:spacing w:after="0" w:line="240" w:lineRule="auto"/>
              <w:jc w:val="center"/>
              <w:rPr>
                <w:rFonts w:ascii="Calibri" w:eastAsia="Times New Roman" w:hAnsi="Calibri" w:cs="Times New Roman"/>
                <w:b/>
                <w:bCs/>
                <w:color w:val="000000"/>
              </w:rPr>
            </w:pPr>
            <w:r w:rsidRPr="003E5D10">
              <w:rPr>
                <w:rFonts w:ascii="Calibri" w:eastAsia="Times New Roman" w:hAnsi="Calibri" w:cs="Times New Roman"/>
                <w:b/>
                <w:bCs/>
                <w:color w:val="000000"/>
              </w:rPr>
              <w:t>2</w:t>
            </w:r>
            <w:r w:rsidRPr="003E5D10">
              <w:rPr>
                <w:rFonts w:ascii="Calibri" w:eastAsia="Times New Roman" w:hAnsi="Calibri" w:cs="Times New Roman"/>
                <w:b/>
                <w:bCs/>
                <w:color w:val="000000"/>
                <w:vertAlign w:val="superscript"/>
              </w:rPr>
              <w:t>nd</w:t>
            </w:r>
            <w:r w:rsidRPr="003E5D10">
              <w:rPr>
                <w:rFonts w:ascii="Calibri" w:eastAsia="Times New Roman" w:hAnsi="Calibri" w:cs="Times New Roman"/>
                <w:b/>
                <w:bCs/>
                <w:color w:val="000000"/>
              </w:rPr>
              <w:t xml:space="preserve"> QTR SFY 2014</w:t>
            </w:r>
          </w:p>
        </w:tc>
        <w:tc>
          <w:tcPr>
            <w:tcW w:w="1120" w:type="dxa"/>
            <w:tcBorders>
              <w:top w:val="nil"/>
              <w:left w:val="nil"/>
              <w:bottom w:val="nil"/>
              <w:right w:val="single" w:sz="8" w:space="0" w:color="auto"/>
            </w:tcBorders>
            <w:shd w:val="clear" w:color="000000" w:fill="F2F2F2"/>
            <w:vAlign w:val="center"/>
            <w:hideMark/>
          </w:tcPr>
          <w:p w14:paraId="7C056ADF" w14:textId="77777777" w:rsidR="006F495F" w:rsidRPr="003E5D10" w:rsidRDefault="006F495F" w:rsidP="00EE1DCA">
            <w:pPr>
              <w:spacing w:after="0" w:line="240" w:lineRule="auto"/>
              <w:jc w:val="center"/>
              <w:rPr>
                <w:rFonts w:ascii="Calibri" w:eastAsia="Times New Roman" w:hAnsi="Calibri" w:cs="Times New Roman"/>
                <w:b/>
                <w:bCs/>
                <w:color w:val="000000"/>
              </w:rPr>
            </w:pPr>
            <w:r w:rsidRPr="003E5D10">
              <w:rPr>
                <w:rFonts w:ascii="Calibri" w:eastAsia="Times New Roman" w:hAnsi="Calibri" w:cs="Times New Roman"/>
                <w:b/>
                <w:bCs/>
                <w:color w:val="000000"/>
              </w:rPr>
              <w:t>2</w:t>
            </w:r>
            <w:r w:rsidRPr="003E5D10">
              <w:rPr>
                <w:rFonts w:ascii="Calibri" w:eastAsia="Times New Roman" w:hAnsi="Calibri" w:cs="Times New Roman"/>
                <w:b/>
                <w:bCs/>
                <w:color w:val="000000"/>
                <w:vertAlign w:val="superscript"/>
              </w:rPr>
              <w:t>nd</w:t>
            </w:r>
            <w:r w:rsidRPr="003E5D10">
              <w:rPr>
                <w:rFonts w:ascii="Calibri" w:eastAsia="Times New Roman" w:hAnsi="Calibri" w:cs="Times New Roman"/>
                <w:b/>
                <w:bCs/>
                <w:color w:val="000000"/>
              </w:rPr>
              <w:t xml:space="preserve"> QTR SFY 2015 </w:t>
            </w:r>
          </w:p>
        </w:tc>
      </w:tr>
      <w:tr w:rsidR="006F495F" w:rsidRPr="003E5D10" w14:paraId="2FEBA353" w14:textId="77777777" w:rsidTr="00EE1DCA">
        <w:trPr>
          <w:trHeight w:val="300"/>
        </w:trPr>
        <w:tc>
          <w:tcPr>
            <w:tcW w:w="1340" w:type="dxa"/>
            <w:vMerge w:val="restart"/>
            <w:tcBorders>
              <w:top w:val="single" w:sz="8" w:space="0" w:color="auto"/>
              <w:left w:val="single" w:sz="8" w:space="0" w:color="auto"/>
              <w:bottom w:val="single" w:sz="4" w:space="0" w:color="auto"/>
              <w:right w:val="nil"/>
            </w:tcBorders>
            <w:shd w:val="clear" w:color="auto" w:fill="auto"/>
            <w:vAlign w:val="center"/>
            <w:hideMark/>
          </w:tcPr>
          <w:p w14:paraId="52B83B59" w14:textId="77777777" w:rsidR="006F495F" w:rsidRPr="003E5D10" w:rsidRDefault="006F495F" w:rsidP="00EE1DCA">
            <w:pPr>
              <w:spacing w:after="0" w:line="240" w:lineRule="auto"/>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Less than 30 days</w:t>
            </w:r>
          </w:p>
        </w:tc>
        <w:tc>
          <w:tcPr>
            <w:tcW w:w="112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0C9B7C0"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9% (Nationally - 5%)</w:t>
            </w:r>
          </w:p>
        </w:tc>
        <w:tc>
          <w:tcPr>
            <w:tcW w:w="112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59B023D"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8% (Nationally - 5%)</w:t>
            </w:r>
          </w:p>
        </w:tc>
        <w:tc>
          <w:tcPr>
            <w:tcW w:w="112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6B1AE8F"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9% (Nationally - 5%)</w:t>
            </w:r>
          </w:p>
        </w:tc>
        <w:tc>
          <w:tcPr>
            <w:tcW w:w="112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982856E"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6% (Nationally - 5%)</w:t>
            </w:r>
          </w:p>
        </w:tc>
        <w:tc>
          <w:tcPr>
            <w:tcW w:w="112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14:paraId="7F45B2DC"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6% (Nationally - 11%)</w:t>
            </w:r>
          </w:p>
        </w:tc>
      </w:tr>
      <w:tr w:rsidR="006F495F" w:rsidRPr="003E5D10" w14:paraId="689D97B1" w14:textId="77777777" w:rsidTr="00EE1DCA">
        <w:trPr>
          <w:trHeight w:val="300"/>
        </w:trPr>
        <w:tc>
          <w:tcPr>
            <w:tcW w:w="1340" w:type="dxa"/>
            <w:vMerge/>
            <w:tcBorders>
              <w:top w:val="single" w:sz="8" w:space="0" w:color="auto"/>
              <w:left w:val="single" w:sz="8" w:space="0" w:color="auto"/>
              <w:bottom w:val="single" w:sz="4" w:space="0" w:color="auto"/>
              <w:right w:val="nil"/>
            </w:tcBorders>
            <w:vAlign w:val="center"/>
            <w:hideMark/>
          </w:tcPr>
          <w:p w14:paraId="7DE5754D"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single" w:sz="8" w:space="0" w:color="auto"/>
              <w:left w:val="single" w:sz="8" w:space="0" w:color="auto"/>
              <w:bottom w:val="single" w:sz="4" w:space="0" w:color="auto"/>
              <w:right w:val="single" w:sz="4" w:space="0" w:color="auto"/>
            </w:tcBorders>
            <w:vAlign w:val="center"/>
            <w:hideMark/>
          </w:tcPr>
          <w:p w14:paraId="66D1F61E"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single" w:sz="8" w:space="0" w:color="auto"/>
              <w:left w:val="single" w:sz="4" w:space="0" w:color="auto"/>
              <w:bottom w:val="single" w:sz="4" w:space="0" w:color="auto"/>
              <w:right w:val="single" w:sz="4" w:space="0" w:color="auto"/>
            </w:tcBorders>
            <w:vAlign w:val="center"/>
            <w:hideMark/>
          </w:tcPr>
          <w:p w14:paraId="1FDBD383"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single" w:sz="8" w:space="0" w:color="auto"/>
              <w:left w:val="single" w:sz="4" w:space="0" w:color="auto"/>
              <w:bottom w:val="single" w:sz="4" w:space="0" w:color="auto"/>
              <w:right w:val="single" w:sz="4" w:space="0" w:color="auto"/>
            </w:tcBorders>
            <w:vAlign w:val="center"/>
            <w:hideMark/>
          </w:tcPr>
          <w:p w14:paraId="4F4E10AC"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single" w:sz="8" w:space="0" w:color="auto"/>
              <w:left w:val="single" w:sz="4" w:space="0" w:color="auto"/>
              <w:bottom w:val="single" w:sz="4" w:space="0" w:color="auto"/>
              <w:right w:val="single" w:sz="4" w:space="0" w:color="auto"/>
            </w:tcBorders>
            <w:vAlign w:val="center"/>
            <w:hideMark/>
          </w:tcPr>
          <w:p w14:paraId="00E2664A"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single" w:sz="8" w:space="0" w:color="auto"/>
              <w:left w:val="single" w:sz="4" w:space="0" w:color="auto"/>
              <w:bottom w:val="single" w:sz="4" w:space="0" w:color="auto"/>
              <w:right w:val="single" w:sz="8" w:space="0" w:color="auto"/>
            </w:tcBorders>
            <w:vAlign w:val="center"/>
            <w:hideMark/>
          </w:tcPr>
          <w:p w14:paraId="087AC328" w14:textId="77777777" w:rsidR="006F495F" w:rsidRPr="003E5D10" w:rsidRDefault="006F495F" w:rsidP="00EE1DCA">
            <w:pPr>
              <w:spacing w:after="0" w:line="240" w:lineRule="auto"/>
              <w:rPr>
                <w:rFonts w:ascii="Calibri" w:eastAsia="Times New Roman" w:hAnsi="Calibri" w:cs="Times New Roman"/>
                <w:color w:val="000000"/>
                <w:sz w:val="20"/>
                <w:szCs w:val="20"/>
              </w:rPr>
            </w:pPr>
          </w:p>
        </w:tc>
      </w:tr>
      <w:tr w:rsidR="006F495F" w:rsidRPr="003E5D10" w14:paraId="7F17132E" w14:textId="77777777" w:rsidTr="00EE1DCA">
        <w:trPr>
          <w:trHeight w:val="300"/>
        </w:trPr>
        <w:tc>
          <w:tcPr>
            <w:tcW w:w="1340" w:type="dxa"/>
            <w:vMerge/>
            <w:tcBorders>
              <w:top w:val="single" w:sz="8" w:space="0" w:color="auto"/>
              <w:left w:val="single" w:sz="8" w:space="0" w:color="auto"/>
              <w:bottom w:val="single" w:sz="4" w:space="0" w:color="auto"/>
              <w:right w:val="nil"/>
            </w:tcBorders>
            <w:vAlign w:val="center"/>
            <w:hideMark/>
          </w:tcPr>
          <w:p w14:paraId="00D1558E"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single" w:sz="8" w:space="0" w:color="auto"/>
              <w:left w:val="single" w:sz="8" w:space="0" w:color="auto"/>
              <w:bottom w:val="single" w:sz="4" w:space="0" w:color="auto"/>
              <w:right w:val="single" w:sz="4" w:space="0" w:color="auto"/>
            </w:tcBorders>
            <w:vAlign w:val="center"/>
            <w:hideMark/>
          </w:tcPr>
          <w:p w14:paraId="79CBE81F"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single" w:sz="8" w:space="0" w:color="auto"/>
              <w:left w:val="single" w:sz="4" w:space="0" w:color="auto"/>
              <w:bottom w:val="single" w:sz="4" w:space="0" w:color="auto"/>
              <w:right w:val="single" w:sz="4" w:space="0" w:color="auto"/>
            </w:tcBorders>
            <w:vAlign w:val="center"/>
            <w:hideMark/>
          </w:tcPr>
          <w:p w14:paraId="1E94EEAB"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single" w:sz="8" w:space="0" w:color="auto"/>
              <w:left w:val="single" w:sz="4" w:space="0" w:color="auto"/>
              <w:bottom w:val="single" w:sz="4" w:space="0" w:color="auto"/>
              <w:right w:val="single" w:sz="4" w:space="0" w:color="auto"/>
            </w:tcBorders>
            <w:vAlign w:val="center"/>
            <w:hideMark/>
          </w:tcPr>
          <w:p w14:paraId="5294C972"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single" w:sz="8" w:space="0" w:color="auto"/>
              <w:left w:val="single" w:sz="4" w:space="0" w:color="auto"/>
              <w:bottom w:val="single" w:sz="4" w:space="0" w:color="auto"/>
              <w:right w:val="single" w:sz="4" w:space="0" w:color="auto"/>
            </w:tcBorders>
            <w:vAlign w:val="center"/>
            <w:hideMark/>
          </w:tcPr>
          <w:p w14:paraId="31010484"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single" w:sz="8" w:space="0" w:color="auto"/>
              <w:left w:val="single" w:sz="4" w:space="0" w:color="auto"/>
              <w:bottom w:val="single" w:sz="4" w:space="0" w:color="auto"/>
              <w:right w:val="single" w:sz="8" w:space="0" w:color="auto"/>
            </w:tcBorders>
            <w:vAlign w:val="center"/>
            <w:hideMark/>
          </w:tcPr>
          <w:p w14:paraId="0F16F73A" w14:textId="77777777" w:rsidR="006F495F" w:rsidRPr="003E5D10" w:rsidRDefault="006F495F" w:rsidP="00EE1DCA">
            <w:pPr>
              <w:spacing w:after="0" w:line="240" w:lineRule="auto"/>
              <w:rPr>
                <w:rFonts w:ascii="Calibri" w:eastAsia="Times New Roman" w:hAnsi="Calibri" w:cs="Times New Roman"/>
                <w:color w:val="000000"/>
                <w:sz w:val="20"/>
                <w:szCs w:val="20"/>
              </w:rPr>
            </w:pPr>
          </w:p>
        </w:tc>
      </w:tr>
      <w:tr w:rsidR="006F495F" w:rsidRPr="003E5D10" w14:paraId="02DDC67D" w14:textId="77777777" w:rsidTr="00EE1DCA">
        <w:trPr>
          <w:trHeight w:val="300"/>
        </w:trPr>
        <w:tc>
          <w:tcPr>
            <w:tcW w:w="1340" w:type="dxa"/>
            <w:vMerge w:val="restart"/>
            <w:tcBorders>
              <w:top w:val="nil"/>
              <w:left w:val="single" w:sz="8" w:space="0" w:color="auto"/>
              <w:bottom w:val="single" w:sz="4" w:space="0" w:color="auto"/>
              <w:right w:val="nil"/>
            </w:tcBorders>
            <w:shd w:val="clear" w:color="auto" w:fill="auto"/>
            <w:vAlign w:val="center"/>
            <w:hideMark/>
          </w:tcPr>
          <w:p w14:paraId="3347C4DF" w14:textId="77777777" w:rsidR="006F495F" w:rsidRPr="003E5D10" w:rsidRDefault="006F495F" w:rsidP="00EE1DCA">
            <w:pPr>
              <w:spacing w:after="0" w:line="240" w:lineRule="auto"/>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30-90 Days</w:t>
            </w:r>
          </w:p>
        </w:tc>
        <w:tc>
          <w:tcPr>
            <w:tcW w:w="1120" w:type="dxa"/>
            <w:vMerge w:val="restart"/>
            <w:tcBorders>
              <w:top w:val="nil"/>
              <w:left w:val="single" w:sz="8" w:space="0" w:color="auto"/>
              <w:bottom w:val="single" w:sz="4" w:space="0" w:color="auto"/>
              <w:right w:val="single" w:sz="4" w:space="0" w:color="auto"/>
            </w:tcBorders>
            <w:shd w:val="clear" w:color="000000" w:fill="FFFFFF"/>
            <w:vAlign w:val="center"/>
            <w:hideMark/>
          </w:tcPr>
          <w:p w14:paraId="63586DE9"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14% (Nationally - 20%)</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7D67BF"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13% (Nationally - 20%)</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01FE01"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12% (Nationally - 20%)</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7A2A41"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10% (Nationally - 22%)</w:t>
            </w:r>
          </w:p>
        </w:tc>
        <w:tc>
          <w:tcPr>
            <w:tcW w:w="1120" w:type="dxa"/>
            <w:vMerge w:val="restart"/>
            <w:tcBorders>
              <w:top w:val="nil"/>
              <w:left w:val="single" w:sz="4" w:space="0" w:color="auto"/>
              <w:bottom w:val="single" w:sz="4" w:space="0" w:color="auto"/>
              <w:right w:val="single" w:sz="8" w:space="0" w:color="auto"/>
            </w:tcBorders>
            <w:shd w:val="clear" w:color="000000" w:fill="FFFFFF"/>
            <w:vAlign w:val="center"/>
            <w:hideMark/>
          </w:tcPr>
          <w:p w14:paraId="04B3DACE"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9% (Nationally - 15%)</w:t>
            </w:r>
          </w:p>
        </w:tc>
      </w:tr>
      <w:tr w:rsidR="006F495F" w:rsidRPr="003E5D10" w14:paraId="715ED504" w14:textId="77777777" w:rsidTr="00EE1DCA">
        <w:trPr>
          <w:trHeight w:val="300"/>
        </w:trPr>
        <w:tc>
          <w:tcPr>
            <w:tcW w:w="1340" w:type="dxa"/>
            <w:vMerge/>
            <w:tcBorders>
              <w:top w:val="nil"/>
              <w:left w:val="single" w:sz="8" w:space="0" w:color="auto"/>
              <w:bottom w:val="single" w:sz="4" w:space="0" w:color="auto"/>
              <w:right w:val="nil"/>
            </w:tcBorders>
            <w:vAlign w:val="center"/>
            <w:hideMark/>
          </w:tcPr>
          <w:p w14:paraId="11145EFD"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8" w:space="0" w:color="auto"/>
              <w:bottom w:val="single" w:sz="4" w:space="0" w:color="auto"/>
              <w:right w:val="single" w:sz="4" w:space="0" w:color="auto"/>
            </w:tcBorders>
            <w:vAlign w:val="center"/>
            <w:hideMark/>
          </w:tcPr>
          <w:p w14:paraId="558CBE84"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1375BE0D"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2708A203"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113C03CA"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8" w:space="0" w:color="auto"/>
            </w:tcBorders>
            <w:vAlign w:val="center"/>
            <w:hideMark/>
          </w:tcPr>
          <w:p w14:paraId="466A26C9" w14:textId="77777777" w:rsidR="006F495F" w:rsidRPr="003E5D10" w:rsidRDefault="006F495F" w:rsidP="00EE1DCA">
            <w:pPr>
              <w:spacing w:after="0" w:line="240" w:lineRule="auto"/>
              <w:rPr>
                <w:rFonts w:ascii="Calibri" w:eastAsia="Times New Roman" w:hAnsi="Calibri" w:cs="Times New Roman"/>
                <w:color w:val="000000"/>
                <w:sz w:val="20"/>
                <w:szCs w:val="20"/>
              </w:rPr>
            </w:pPr>
          </w:p>
        </w:tc>
      </w:tr>
      <w:tr w:rsidR="006F495F" w:rsidRPr="003E5D10" w14:paraId="430D4ED3" w14:textId="77777777" w:rsidTr="00EE1DCA">
        <w:trPr>
          <w:trHeight w:val="300"/>
        </w:trPr>
        <w:tc>
          <w:tcPr>
            <w:tcW w:w="1340" w:type="dxa"/>
            <w:vMerge/>
            <w:tcBorders>
              <w:top w:val="nil"/>
              <w:left w:val="single" w:sz="8" w:space="0" w:color="auto"/>
              <w:bottom w:val="single" w:sz="4" w:space="0" w:color="auto"/>
              <w:right w:val="nil"/>
            </w:tcBorders>
            <w:vAlign w:val="center"/>
            <w:hideMark/>
          </w:tcPr>
          <w:p w14:paraId="5E1EFF26"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8" w:space="0" w:color="auto"/>
              <w:bottom w:val="single" w:sz="4" w:space="0" w:color="auto"/>
              <w:right w:val="single" w:sz="4" w:space="0" w:color="auto"/>
            </w:tcBorders>
            <w:vAlign w:val="center"/>
            <w:hideMark/>
          </w:tcPr>
          <w:p w14:paraId="662F4904"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3F111417"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0D3C96F1"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68775432"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8" w:space="0" w:color="auto"/>
            </w:tcBorders>
            <w:vAlign w:val="center"/>
            <w:hideMark/>
          </w:tcPr>
          <w:p w14:paraId="44E5E84B" w14:textId="77777777" w:rsidR="006F495F" w:rsidRPr="003E5D10" w:rsidRDefault="006F495F" w:rsidP="00EE1DCA">
            <w:pPr>
              <w:spacing w:after="0" w:line="240" w:lineRule="auto"/>
              <w:rPr>
                <w:rFonts w:ascii="Calibri" w:eastAsia="Times New Roman" w:hAnsi="Calibri" w:cs="Times New Roman"/>
                <w:color w:val="000000"/>
                <w:sz w:val="20"/>
                <w:szCs w:val="20"/>
              </w:rPr>
            </w:pPr>
          </w:p>
        </w:tc>
      </w:tr>
      <w:tr w:rsidR="006F495F" w:rsidRPr="003E5D10" w14:paraId="6B172FE5" w14:textId="77777777" w:rsidTr="00EE1DCA">
        <w:trPr>
          <w:trHeight w:val="300"/>
        </w:trPr>
        <w:tc>
          <w:tcPr>
            <w:tcW w:w="1340" w:type="dxa"/>
            <w:vMerge w:val="restart"/>
            <w:tcBorders>
              <w:top w:val="nil"/>
              <w:left w:val="single" w:sz="8" w:space="0" w:color="auto"/>
              <w:bottom w:val="single" w:sz="4" w:space="0" w:color="auto"/>
              <w:right w:val="nil"/>
            </w:tcBorders>
            <w:shd w:val="clear" w:color="auto" w:fill="auto"/>
            <w:vAlign w:val="center"/>
            <w:hideMark/>
          </w:tcPr>
          <w:p w14:paraId="7095DCBA" w14:textId="77777777" w:rsidR="006F495F" w:rsidRPr="003E5D10" w:rsidRDefault="006F495F" w:rsidP="00EE1DCA">
            <w:pPr>
              <w:spacing w:after="0" w:line="240" w:lineRule="auto"/>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3-6 Months</w:t>
            </w:r>
          </w:p>
        </w:tc>
        <w:tc>
          <w:tcPr>
            <w:tcW w:w="1120" w:type="dxa"/>
            <w:vMerge w:val="restart"/>
            <w:tcBorders>
              <w:top w:val="nil"/>
              <w:left w:val="single" w:sz="8" w:space="0" w:color="auto"/>
              <w:bottom w:val="single" w:sz="4" w:space="0" w:color="auto"/>
              <w:right w:val="single" w:sz="4" w:space="0" w:color="auto"/>
            </w:tcBorders>
            <w:shd w:val="clear" w:color="000000" w:fill="FFFFFF"/>
            <w:vAlign w:val="center"/>
            <w:hideMark/>
          </w:tcPr>
          <w:p w14:paraId="4041B0E0"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13% (Nationally - 20%)</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2B4B08"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13% (Nationally - 20%)</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EA3A97"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14% (Nationally - 20%)</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D66DAD"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15% (Nationally - 22%)</w:t>
            </w:r>
          </w:p>
        </w:tc>
        <w:tc>
          <w:tcPr>
            <w:tcW w:w="1120" w:type="dxa"/>
            <w:vMerge w:val="restart"/>
            <w:tcBorders>
              <w:top w:val="nil"/>
              <w:left w:val="single" w:sz="4" w:space="0" w:color="auto"/>
              <w:bottom w:val="single" w:sz="4" w:space="0" w:color="auto"/>
              <w:right w:val="single" w:sz="8" w:space="0" w:color="auto"/>
            </w:tcBorders>
            <w:shd w:val="clear" w:color="000000" w:fill="FFFFFF"/>
            <w:vAlign w:val="center"/>
            <w:hideMark/>
          </w:tcPr>
          <w:p w14:paraId="6706E873" w14:textId="77777777" w:rsidR="001F5BE9" w:rsidRDefault="001F5BE9" w:rsidP="00EE1DCA">
            <w:pPr>
              <w:spacing w:after="0" w:line="240" w:lineRule="auto"/>
              <w:jc w:val="center"/>
              <w:rPr>
                <w:rFonts w:ascii="Calibri" w:eastAsia="Times New Roman" w:hAnsi="Calibri" w:cs="Times New Roman"/>
                <w:color w:val="000000"/>
                <w:sz w:val="20"/>
                <w:szCs w:val="20"/>
              </w:rPr>
            </w:pPr>
          </w:p>
          <w:p w14:paraId="0433B303" w14:textId="77777777" w:rsidR="006F495F"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14% (Nationally - 15%)</w:t>
            </w:r>
          </w:p>
          <w:p w14:paraId="4E672BC4" w14:textId="77777777" w:rsidR="001F5BE9" w:rsidRDefault="001F5BE9" w:rsidP="00EE1DCA">
            <w:pPr>
              <w:spacing w:after="0" w:line="240" w:lineRule="auto"/>
              <w:jc w:val="center"/>
              <w:rPr>
                <w:rFonts w:ascii="Calibri" w:eastAsia="Times New Roman" w:hAnsi="Calibri" w:cs="Times New Roman"/>
                <w:color w:val="000000"/>
                <w:sz w:val="20"/>
                <w:szCs w:val="20"/>
              </w:rPr>
            </w:pPr>
          </w:p>
          <w:p w14:paraId="2F3A4FE1" w14:textId="77777777" w:rsidR="001F5BE9" w:rsidRPr="003E5D10" w:rsidRDefault="001F5BE9" w:rsidP="00EE1DCA">
            <w:pPr>
              <w:spacing w:after="0" w:line="240" w:lineRule="auto"/>
              <w:jc w:val="center"/>
              <w:rPr>
                <w:rFonts w:ascii="Calibri" w:eastAsia="Times New Roman" w:hAnsi="Calibri" w:cs="Times New Roman"/>
                <w:color w:val="000000"/>
                <w:sz w:val="20"/>
                <w:szCs w:val="20"/>
              </w:rPr>
            </w:pPr>
          </w:p>
        </w:tc>
      </w:tr>
      <w:tr w:rsidR="006F495F" w:rsidRPr="003E5D10" w14:paraId="7CFBE03F" w14:textId="77777777" w:rsidTr="00EE1DCA">
        <w:trPr>
          <w:trHeight w:val="300"/>
        </w:trPr>
        <w:tc>
          <w:tcPr>
            <w:tcW w:w="1340" w:type="dxa"/>
            <w:vMerge/>
            <w:tcBorders>
              <w:top w:val="nil"/>
              <w:left w:val="single" w:sz="8" w:space="0" w:color="auto"/>
              <w:bottom w:val="single" w:sz="4" w:space="0" w:color="auto"/>
              <w:right w:val="nil"/>
            </w:tcBorders>
            <w:vAlign w:val="center"/>
            <w:hideMark/>
          </w:tcPr>
          <w:p w14:paraId="73955721"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8" w:space="0" w:color="auto"/>
              <w:bottom w:val="single" w:sz="4" w:space="0" w:color="auto"/>
              <w:right w:val="single" w:sz="4" w:space="0" w:color="auto"/>
            </w:tcBorders>
            <w:vAlign w:val="center"/>
            <w:hideMark/>
          </w:tcPr>
          <w:p w14:paraId="433C7F67"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02F07A59"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5E925955"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2F7A0A24"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8" w:space="0" w:color="auto"/>
            </w:tcBorders>
            <w:vAlign w:val="center"/>
            <w:hideMark/>
          </w:tcPr>
          <w:p w14:paraId="77E3E602" w14:textId="77777777" w:rsidR="006F495F" w:rsidRPr="003E5D10" w:rsidRDefault="006F495F" w:rsidP="00EE1DCA">
            <w:pPr>
              <w:spacing w:after="0" w:line="240" w:lineRule="auto"/>
              <w:rPr>
                <w:rFonts w:ascii="Calibri" w:eastAsia="Times New Roman" w:hAnsi="Calibri" w:cs="Times New Roman"/>
                <w:color w:val="000000"/>
                <w:sz w:val="20"/>
                <w:szCs w:val="20"/>
              </w:rPr>
            </w:pPr>
          </w:p>
        </w:tc>
      </w:tr>
      <w:tr w:rsidR="006F495F" w:rsidRPr="003E5D10" w14:paraId="6CF337D9" w14:textId="77777777" w:rsidTr="00EE1DCA">
        <w:trPr>
          <w:trHeight w:val="300"/>
        </w:trPr>
        <w:tc>
          <w:tcPr>
            <w:tcW w:w="1340" w:type="dxa"/>
            <w:vMerge/>
            <w:tcBorders>
              <w:top w:val="nil"/>
              <w:left w:val="single" w:sz="8" w:space="0" w:color="auto"/>
              <w:bottom w:val="single" w:sz="4" w:space="0" w:color="auto"/>
              <w:right w:val="nil"/>
            </w:tcBorders>
            <w:vAlign w:val="center"/>
            <w:hideMark/>
          </w:tcPr>
          <w:p w14:paraId="65D6C519"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8" w:space="0" w:color="auto"/>
              <w:bottom w:val="single" w:sz="4" w:space="0" w:color="auto"/>
              <w:right w:val="single" w:sz="4" w:space="0" w:color="auto"/>
            </w:tcBorders>
            <w:vAlign w:val="center"/>
            <w:hideMark/>
          </w:tcPr>
          <w:p w14:paraId="7B5445CB"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6B06644B"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6F4292A5"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6800B874"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8" w:space="0" w:color="auto"/>
            </w:tcBorders>
            <w:vAlign w:val="center"/>
            <w:hideMark/>
          </w:tcPr>
          <w:p w14:paraId="7EB1255C" w14:textId="77777777" w:rsidR="006F495F" w:rsidRPr="003E5D10" w:rsidRDefault="006F495F" w:rsidP="00EE1DCA">
            <w:pPr>
              <w:spacing w:after="0" w:line="240" w:lineRule="auto"/>
              <w:rPr>
                <w:rFonts w:ascii="Calibri" w:eastAsia="Times New Roman" w:hAnsi="Calibri" w:cs="Times New Roman"/>
                <w:color w:val="000000"/>
                <w:sz w:val="20"/>
                <w:szCs w:val="20"/>
              </w:rPr>
            </w:pPr>
          </w:p>
        </w:tc>
      </w:tr>
      <w:tr w:rsidR="006F495F" w:rsidRPr="003E5D10" w14:paraId="2E4721AB" w14:textId="77777777" w:rsidTr="00EE1DCA">
        <w:trPr>
          <w:trHeight w:val="300"/>
        </w:trPr>
        <w:tc>
          <w:tcPr>
            <w:tcW w:w="1340" w:type="dxa"/>
            <w:vMerge w:val="restart"/>
            <w:tcBorders>
              <w:top w:val="nil"/>
              <w:left w:val="single" w:sz="8" w:space="0" w:color="auto"/>
              <w:bottom w:val="single" w:sz="4" w:space="0" w:color="auto"/>
              <w:right w:val="nil"/>
            </w:tcBorders>
            <w:shd w:val="clear" w:color="auto" w:fill="auto"/>
            <w:vAlign w:val="center"/>
            <w:hideMark/>
          </w:tcPr>
          <w:p w14:paraId="49B282BB" w14:textId="77777777" w:rsidR="006F495F" w:rsidRPr="003E5D10" w:rsidRDefault="006F495F" w:rsidP="00EE1DCA">
            <w:pPr>
              <w:spacing w:after="0" w:line="240" w:lineRule="auto"/>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6-12 Months</w:t>
            </w:r>
          </w:p>
        </w:tc>
        <w:tc>
          <w:tcPr>
            <w:tcW w:w="1120" w:type="dxa"/>
            <w:vMerge w:val="restart"/>
            <w:tcBorders>
              <w:top w:val="nil"/>
              <w:left w:val="single" w:sz="8" w:space="0" w:color="auto"/>
              <w:bottom w:val="single" w:sz="4" w:space="0" w:color="auto"/>
              <w:right w:val="single" w:sz="4" w:space="0" w:color="auto"/>
            </w:tcBorders>
            <w:shd w:val="clear" w:color="000000" w:fill="FFFFFF"/>
            <w:vAlign w:val="center"/>
            <w:hideMark/>
          </w:tcPr>
          <w:p w14:paraId="604E265C"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21% (Nationally - 17%)</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227CE0"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22% (Nationally - 17%)</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1D74F8"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21% (Nationally - 17%)</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1D0E88"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23% (Nationally - 20%)</w:t>
            </w:r>
          </w:p>
        </w:tc>
        <w:tc>
          <w:tcPr>
            <w:tcW w:w="1120" w:type="dxa"/>
            <w:vMerge w:val="restart"/>
            <w:tcBorders>
              <w:top w:val="nil"/>
              <w:left w:val="single" w:sz="4" w:space="0" w:color="auto"/>
              <w:bottom w:val="single" w:sz="4" w:space="0" w:color="auto"/>
              <w:right w:val="single" w:sz="8" w:space="0" w:color="auto"/>
            </w:tcBorders>
            <w:shd w:val="clear" w:color="000000" w:fill="FFFFFF"/>
            <w:vAlign w:val="center"/>
            <w:hideMark/>
          </w:tcPr>
          <w:p w14:paraId="31C35957"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25% (Nationally - 20%)</w:t>
            </w:r>
          </w:p>
        </w:tc>
      </w:tr>
      <w:tr w:rsidR="006F495F" w:rsidRPr="003E5D10" w14:paraId="7F367B80" w14:textId="77777777" w:rsidTr="00EE1DCA">
        <w:trPr>
          <w:trHeight w:val="300"/>
        </w:trPr>
        <w:tc>
          <w:tcPr>
            <w:tcW w:w="1340" w:type="dxa"/>
            <w:vMerge/>
            <w:tcBorders>
              <w:top w:val="nil"/>
              <w:left w:val="single" w:sz="8" w:space="0" w:color="auto"/>
              <w:bottom w:val="single" w:sz="4" w:space="0" w:color="auto"/>
              <w:right w:val="nil"/>
            </w:tcBorders>
            <w:vAlign w:val="center"/>
            <w:hideMark/>
          </w:tcPr>
          <w:p w14:paraId="79E36666"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8" w:space="0" w:color="auto"/>
              <w:bottom w:val="single" w:sz="4" w:space="0" w:color="auto"/>
              <w:right w:val="single" w:sz="4" w:space="0" w:color="auto"/>
            </w:tcBorders>
            <w:vAlign w:val="center"/>
            <w:hideMark/>
          </w:tcPr>
          <w:p w14:paraId="23DC499F"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55012842"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28726177"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4711E4E0"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8" w:space="0" w:color="auto"/>
            </w:tcBorders>
            <w:vAlign w:val="center"/>
            <w:hideMark/>
          </w:tcPr>
          <w:p w14:paraId="14864CA1" w14:textId="77777777" w:rsidR="006F495F" w:rsidRPr="003E5D10" w:rsidRDefault="006F495F" w:rsidP="00EE1DCA">
            <w:pPr>
              <w:spacing w:after="0" w:line="240" w:lineRule="auto"/>
              <w:rPr>
                <w:rFonts w:ascii="Calibri" w:eastAsia="Times New Roman" w:hAnsi="Calibri" w:cs="Times New Roman"/>
                <w:color w:val="000000"/>
                <w:sz w:val="20"/>
                <w:szCs w:val="20"/>
              </w:rPr>
            </w:pPr>
          </w:p>
        </w:tc>
      </w:tr>
      <w:tr w:rsidR="006F495F" w:rsidRPr="003E5D10" w14:paraId="47E2B2D4" w14:textId="77777777" w:rsidTr="00EE1DCA">
        <w:trPr>
          <w:trHeight w:val="300"/>
        </w:trPr>
        <w:tc>
          <w:tcPr>
            <w:tcW w:w="1340" w:type="dxa"/>
            <w:vMerge/>
            <w:tcBorders>
              <w:top w:val="nil"/>
              <w:left w:val="single" w:sz="8" w:space="0" w:color="auto"/>
              <w:bottom w:val="single" w:sz="4" w:space="0" w:color="auto"/>
              <w:right w:val="nil"/>
            </w:tcBorders>
            <w:vAlign w:val="center"/>
            <w:hideMark/>
          </w:tcPr>
          <w:p w14:paraId="682CD47C"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8" w:space="0" w:color="auto"/>
              <w:bottom w:val="single" w:sz="4" w:space="0" w:color="auto"/>
              <w:right w:val="single" w:sz="4" w:space="0" w:color="auto"/>
            </w:tcBorders>
            <w:vAlign w:val="center"/>
            <w:hideMark/>
          </w:tcPr>
          <w:p w14:paraId="1AE083F9"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3233A2A7"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01F3A72E"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7B614043"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8" w:space="0" w:color="auto"/>
            </w:tcBorders>
            <w:vAlign w:val="center"/>
            <w:hideMark/>
          </w:tcPr>
          <w:p w14:paraId="5CEB3F27" w14:textId="77777777" w:rsidR="006F495F" w:rsidRPr="003E5D10" w:rsidRDefault="006F495F" w:rsidP="00EE1DCA">
            <w:pPr>
              <w:spacing w:after="0" w:line="240" w:lineRule="auto"/>
              <w:rPr>
                <w:rFonts w:ascii="Calibri" w:eastAsia="Times New Roman" w:hAnsi="Calibri" w:cs="Times New Roman"/>
                <w:color w:val="000000"/>
                <w:sz w:val="20"/>
                <w:szCs w:val="20"/>
              </w:rPr>
            </w:pPr>
          </w:p>
        </w:tc>
      </w:tr>
      <w:tr w:rsidR="006F495F" w:rsidRPr="003E5D10" w14:paraId="30E0DBF7" w14:textId="77777777" w:rsidTr="00EE1DCA">
        <w:trPr>
          <w:trHeight w:val="300"/>
        </w:trPr>
        <w:tc>
          <w:tcPr>
            <w:tcW w:w="1340" w:type="dxa"/>
            <w:vMerge w:val="restart"/>
            <w:tcBorders>
              <w:top w:val="nil"/>
              <w:left w:val="single" w:sz="8" w:space="0" w:color="auto"/>
              <w:bottom w:val="single" w:sz="4" w:space="0" w:color="auto"/>
              <w:right w:val="nil"/>
            </w:tcBorders>
            <w:shd w:val="clear" w:color="auto" w:fill="auto"/>
            <w:vAlign w:val="center"/>
            <w:hideMark/>
          </w:tcPr>
          <w:p w14:paraId="5EF34BED" w14:textId="77777777" w:rsidR="006F495F" w:rsidRPr="003E5D10" w:rsidRDefault="006F495F" w:rsidP="00EE1DCA">
            <w:pPr>
              <w:spacing w:after="0" w:line="240" w:lineRule="auto"/>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12-24 Months</w:t>
            </w:r>
          </w:p>
        </w:tc>
        <w:tc>
          <w:tcPr>
            <w:tcW w:w="1120" w:type="dxa"/>
            <w:vMerge w:val="restart"/>
            <w:tcBorders>
              <w:top w:val="nil"/>
              <w:left w:val="single" w:sz="8" w:space="0" w:color="auto"/>
              <w:bottom w:val="single" w:sz="4" w:space="0" w:color="auto"/>
              <w:right w:val="single" w:sz="4" w:space="0" w:color="auto"/>
            </w:tcBorders>
            <w:shd w:val="clear" w:color="000000" w:fill="FFFFFF"/>
            <w:vAlign w:val="center"/>
            <w:hideMark/>
          </w:tcPr>
          <w:p w14:paraId="36B4A5EE"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21% (Nationally - 23%)</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4E6557"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21% (Nationally - 24%)</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929832"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22% (Nationally - 23%)</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E5649F"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22% (Nationally - 24%)</w:t>
            </w:r>
          </w:p>
        </w:tc>
        <w:tc>
          <w:tcPr>
            <w:tcW w:w="1120" w:type="dxa"/>
            <w:vMerge w:val="restart"/>
            <w:tcBorders>
              <w:top w:val="nil"/>
              <w:left w:val="single" w:sz="4" w:space="0" w:color="auto"/>
              <w:bottom w:val="single" w:sz="4" w:space="0" w:color="auto"/>
              <w:right w:val="single" w:sz="8" w:space="0" w:color="auto"/>
            </w:tcBorders>
            <w:shd w:val="clear" w:color="000000" w:fill="FFFFFF"/>
            <w:vAlign w:val="center"/>
            <w:hideMark/>
          </w:tcPr>
          <w:p w14:paraId="2651F2EB"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22% (Nationally - 27%)</w:t>
            </w:r>
          </w:p>
        </w:tc>
      </w:tr>
      <w:tr w:rsidR="006F495F" w:rsidRPr="003E5D10" w14:paraId="4661C5E7" w14:textId="77777777" w:rsidTr="00EE1DCA">
        <w:trPr>
          <w:trHeight w:val="300"/>
        </w:trPr>
        <w:tc>
          <w:tcPr>
            <w:tcW w:w="1340" w:type="dxa"/>
            <w:vMerge/>
            <w:tcBorders>
              <w:top w:val="nil"/>
              <w:left w:val="single" w:sz="8" w:space="0" w:color="auto"/>
              <w:bottom w:val="single" w:sz="4" w:space="0" w:color="auto"/>
              <w:right w:val="nil"/>
            </w:tcBorders>
            <w:vAlign w:val="center"/>
            <w:hideMark/>
          </w:tcPr>
          <w:p w14:paraId="3D636E38"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8" w:space="0" w:color="auto"/>
              <w:bottom w:val="single" w:sz="4" w:space="0" w:color="auto"/>
              <w:right w:val="single" w:sz="4" w:space="0" w:color="auto"/>
            </w:tcBorders>
            <w:vAlign w:val="center"/>
            <w:hideMark/>
          </w:tcPr>
          <w:p w14:paraId="2A882BDE"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4507AF1A"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52D54EE9"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5C413202"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8" w:space="0" w:color="auto"/>
            </w:tcBorders>
            <w:vAlign w:val="center"/>
            <w:hideMark/>
          </w:tcPr>
          <w:p w14:paraId="4C28701C" w14:textId="77777777" w:rsidR="006F495F" w:rsidRPr="003E5D10" w:rsidRDefault="006F495F" w:rsidP="00EE1DCA">
            <w:pPr>
              <w:spacing w:after="0" w:line="240" w:lineRule="auto"/>
              <w:rPr>
                <w:rFonts w:ascii="Calibri" w:eastAsia="Times New Roman" w:hAnsi="Calibri" w:cs="Times New Roman"/>
                <w:color w:val="000000"/>
                <w:sz w:val="20"/>
                <w:szCs w:val="20"/>
              </w:rPr>
            </w:pPr>
          </w:p>
        </w:tc>
      </w:tr>
      <w:tr w:rsidR="006F495F" w:rsidRPr="003E5D10" w14:paraId="798EB080" w14:textId="77777777" w:rsidTr="00EE1DCA">
        <w:trPr>
          <w:trHeight w:val="300"/>
        </w:trPr>
        <w:tc>
          <w:tcPr>
            <w:tcW w:w="1340" w:type="dxa"/>
            <w:vMerge/>
            <w:tcBorders>
              <w:top w:val="nil"/>
              <w:left w:val="single" w:sz="8" w:space="0" w:color="auto"/>
              <w:bottom w:val="single" w:sz="4" w:space="0" w:color="auto"/>
              <w:right w:val="nil"/>
            </w:tcBorders>
            <w:vAlign w:val="center"/>
            <w:hideMark/>
          </w:tcPr>
          <w:p w14:paraId="2FF1FFB1"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8" w:space="0" w:color="auto"/>
              <w:bottom w:val="single" w:sz="4" w:space="0" w:color="auto"/>
              <w:right w:val="single" w:sz="4" w:space="0" w:color="auto"/>
            </w:tcBorders>
            <w:vAlign w:val="center"/>
            <w:hideMark/>
          </w:tcPr>
          <w:p w14:paraId="71EAFBCB"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5ECA9A6C"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1D930EDB"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2DADB76F"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8" w:space="0" w:color="auto"/>
            </w:tcBorders>
            <w:vAlign w:val="center"/>
            <w:hideMark/>
          </w:tcPr>
          <w:p w14:paraId="7C62E8EC" w14:textId="77777777" w:rsidR="006F495F" w:rsidRPr="003E5D10" w:rsidRDefault="006F495F" w:rsidP="00EE1DCA">
            <w:pPr>
              <w:spacing w:after="0" w:line="240" w:lineRule="auto"/>
              <w:rPr>
                <w:rFonts w:ascii="Calibri" w:eastAsia="Times New Roman" w:hAnsi="Calibri" w:cs="Times New Roman"/>
                <w:color w:val="000000"/>
                <w:sz w:val="20"/>
                <w:szCs w:val="20"/>
              </w:rPr>
            </w:pPr>
          </w:p>
        </w:tc>
      </w:tr>
      <w:tr w:rsidR="006F495F" w:rsidRPr="003E5D10" w14:paraId="430F064F" w14:textId="77777777" w:rsidTr="00EE1DCA">
        <w:trPr>
          <w:trHeight w:val="300"/>
        </w:trPr>
        <w:tc>
          <w:tcPr>
            <w:tcW w:w="1340" w:type="dxa"/>
            <w:vMerge w:val="restart"/>
            <w:tcBorders>
              <w:top w:val="nil"/>
              <w:left w:val="single" w:sz="8" w:space="0" w:color="auto"/>
              <w:bottom w:val="single" w:sz="4" w:space="0" w:color="auto"/>
              <w:right w:val="nil"/>
            </w:tcBorders>
            <w:shd w:val="clear" w:color="auto" w:fill="auto"/>
            <w:vAlign w:val="center"/>
            <w:hideMark/>
          </w:tcPr>
          <w:p w14:paraId="7216079F" w14:textId="77777777" w:rsidR="006F495F" w:rsidRPr="003E5D10" w:rsidRDefault="006F495F" w:rsidP="00EE1DCA">
            <w:pPr>
              <w:spacing w:after="0" w:line="240" w:lineRule="auto"/>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24-36 Months</w:t>
            </w:r>
          </w:p>
        </w:tc>
        <w:tc>
          <w:tcPr>
            <w:tcW w:w="1120" w:type="dxa"/>
            <w:vMerge w:val="restart"/>
            <w:tcBorders>
              <w:top w:val="nil"/>
              <w:left w:val="single" w:sz="8" w:space="0" w:color="auto"/>
              <w:bottom w:val="single" w:sz="4" w:space="0" w:color="auto"/>
              <w:right w:val="single" w:sz="4" w:space="0" w:color="auto"/>
            </w:tcBorders>
            <w:shd w:val="clear" w:color="000000" w:fill="FFFFFF"/>
            <w:vAlign w:val="center"/>
            <w:hideMark/>
          </w:tcPr>
          <w:p w14:paraId="522F58F8"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9% (Nationally - 12%)</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7505D2"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9% (Nationally - 12%)</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6D406E"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9% (Nationally - 12%)</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4D683F"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9% (Nationally - 11%)</w:t>
            </w:r>
          </w:p>
        </w:tc>
        <w:tc>
          <w:tcPr>
            <w:tcW w:w="1120" w:type="dxa"/>
            <w:vMerge w:val="restart"/>
            <w:tcBorders>
              <w:top w:val="nil"/>
              <w:left w:val="single" w:sz="4" w:space="0" w:color="auto"/>
              <w:bottom w:val="single" w:sz="4" w:space="0" w:color="auto"/>
              <w:right w:val="single" w:sz="8" w:space="0" w:color="auto"/>
            </w:tcBorders>
            <w:shd w:val="clear" w:color="000000" w:fill="FFFFFF"/>
            <w:vAlign w:val="center"/>
            <w:hideMark/>
          </w:tcPr>
          <w:p w14:paraId="3BA4F9C6"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9% (Nationally - 13%)</w:t>
            </w:r>
          </w:p>
        </w:tc>
      </w:tr>
      <w:tr w:rsidR="006F495F" w:rsidRPr="003E5D10" w14:paraId="107B90CD" w14:textId="77777777" w:rsidTr="00EE1DCA">
        <w:trPr>
          <w:trHeight w:val="300"/>
        </w:trPr>
        <w:tc>
          <w:tcPr>
            <w:tcW w:w="1340" w:type="dxa"/>
            <w:vMerge/>
            <w:tcBorders>
              <w:top w:val="nil"/>
              <w:left w:val="single" w:sz="8" w:space="0" w:color="auto"/>
              <w:bottom w:val="single" w:sz="4" w:space="0" w:color="auto"/>
              <w:right w:val="nil"/>
            </w:tcBorders>
            <w:vAlign w:val="center"/>
            <w:hideMark/>
          </w:tcPr>
          <w:p w14:paraId="3271D553"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8" w:space="0" w:color="auto"/>
              <w:bottom w:val="single" w:sz="4" w:space="0" w:color="auto"/>
              <w:right w:val="single" w:sz="4" w:space="0" w:color="auto"/>
            </w:tcBorders>
            <w:vAlign w:val="center"/>
            <w:hideMark/>
          </w:tcPr>
          <w:p w14:paraId="541195B6"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41A948AD"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1655DB5C"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76CD08F9"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8" w:space="0" w:color="auto"/>
            </w:tcBorders>
            <w:vAlign w:val="center"/>
            <w:hideMark/>
          </w:tcPr>
          <w:p w14:paraId="32DE2D45" w14:textId="77777777" w:rsidR="006F495F" w:rsidRPr="003E5D10" w:rsidRDefault="006F495F" w:rsidP="00EE1DCA">
            <w:pPr>
              <w:spacing w:after="0" w:line="240" w:lineRule="auto"/>
              <w:rPr>
                <w:rFonts w:ascii="Calibri" w:eastAsia="Times New Roman" w:hAnsi="Calibri" w:cs="Times New Roman"/>
                <w:color w:val="000000"/>
                <w:sz w:val="20"/>
                <w:szCs w:val="20"/>
              </w:rPr>
            </w:pPr>
          </w:p>
        </w:tc>
      </w:tr>
      <w:tr w:rsidR="006F495F" w:rsidRPr="003E5D10" w14:paraId="6FE411E1" w14:textId="77777777" w:rsidTr="00EE1DCA">
        <w:trPr>
          <w:trHeight w:val="300"/>
        </w:trPr>
        <w:tc>
          <w:tcPr>
            <w:tcW w:w="1340" w:type="dxa"/>
            <w:vMerge/>
            <w:tcBorders>
              <w:top w:val="nil"/>
              <w:left w:val="single" w:sz="8" w:space="0" w:color="auto"/>
              <w:bottom w:val="single" w:sz="4" w:space="0" w:color="auto"/>
              <w:right w:val="nil"/>
            </w:tcBorders>
            <w:vAlign w:val="center"/>
            <w:hideMark/>
          </w:tcPr>
          <w:p w14:paraId="6F6ECF0D"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8" w:space="0" w:color="auto"/>
              <w:bottom w:val="single" w:sz="4" w:space="0" w:color="auto"/>
              <w:right w:val="single" w:sz="4" w:space="0" w:color="auto"/>
            </w:tcBorders>
            <w:vAlign w:val="center"/>
            <w:hideMark/>
          </w:tcPr>
          <w:p w14:paraId="090A29FA"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65F8FFDC"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1C7C82ED"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6FB77611"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4" w:space="0" w:color="auto"/>
              <w:right w:val="single" w:sz="8" w:space="0" w:color="auto"/>
            </w:tcBorders>
            <w:vAlign w:val="center"/>
            <w:hideMark/>
          </w:tcPr>
          <w:p w14:paraId="6C395E50" w14:textId="77777777" w:rsidR="006F495F" w:rsidRPr="003E5D10" w:rsidRDefault="006F495F" w:rsidP="00EE1DCA">
            <w:pPr>
              <w:spacing w:after="0" w:line="240" w:lineRule="auto"/>
              <w:rPr>
                <w:rFonts w:ascii="Calibri" w:eastAsia="Times New Roman" w:hAnsi="Calibri" w:cs="Times New Roman"/>
                <w:color w:val="000000"/>
                <w:sz w:val="20"/>
                <w:szCs w:val="20"/>
              </w:rPr>
            </w:pPr>
          </w:p>
        </w:tc>
      </w:tr>
      <w:tr w:rsidR="006F495F" w:rsidRPr="003E5D10" w14:paraId="2015C4C7" w14:textId="77777777" w:rsidTr="00EE1DCA">
        <w:trPr>
          <w:trHeight w:val="300"/>
        </w:trPr>
        <w:tc>
          <w:tcPr>
            <w:tcW w:w="1340" w:type="dxa"/>
            <w:vMerge w:val="restart"/>
            <w:tcBorders>
              <w:top w:val="nil"/>
              <w:left w:val="single" w:sz="8" w:space="0" w:color="auto"/>
              <w:bottom w:val="single" w:sz="8" w:space="0" w:color="000000"/>
              <w:right w:val="nil"/>
            </w:tcBorders>
            <w:shd w:val="clear" w:color="auto" w:fill="auto"/>
            <w:vAlign w:val="center"/>
            <w:hideMark/>
          </w:tcPr>
          <w:p w14:paraId="1B8ED775" w14:textId="77777777" w:rsidR="006F495F" w:rsidRPr="003E5D10" w:rsidRDefault="006F495F" w:rsidP="00EE1DCA">
            <w:pPr>
              <w:spacing w:after="0" w:line="240" w:lineRule="auto"/>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36+ Months</w:t>
            </w:r>
          </w:p>
        </w:tc>
        <w:tc>
          <w:tcPr>
            <w:tcW w:w="112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51EC5A93"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14% (Nationally - 24%)</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735BA6A5"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14% (Nationally - 24%)</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1E1501B4"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14% (Nationally - 24%)</w:t>
            </w:r>
          </w:p>
        </w:tc>
        <w:tc>
          <w:tcPr>
            <w:tcW w:w="112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26EF1050"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15% (Nationally - 18%)</w:t>
            </w:r>
          </w:p>
        </w:tc>
        <w:tc>
          <w:tcPr>
            <w:tcW w:w="1120"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3C519033" w14:textId="77777777" w:rsidR="006F495F" w:rsidRPr="003E5D10" w:rsidRDefault="006F495F" w:rsidP="00EE1DCA">
            <w:pPr>
              <w:spacing w:after="0" w:line="240" w:lineRule="auto"/>
              <w:jc w:val="center"/>
              <w:rPr>
                <w:rFonts w:ascii="Calibri" w:eastAsia="Times New Roman" w:hAnsi="Calibri" w:cs="Times New Roman"/>
                <w:color w:val="000000"/>
                <w:sz w:val="20"/>
                <w:szCs w:val="20"/>
              </w:rPr>
            </w:pPr>
            <w:r w:rsidRPr="003E5D10">
              <w:rPr>
                <w:rFonts w:ascii="Calibri" w:eastAsia="Times New Roman" w:hAnsi="Calibri" w:cs="Times New Roman"/>
                <w:color w:val="000000"/>
                <w:sz w:val="20"/>
                <w:szCs w:val="20"/>
              </w:rPr>
              <w:t>15% (Nationally - 14%)</w:t>
            </w:r>
          </w:p>
        </w:tc>
      </w:tr>
      <w:tr w:rsidR="006F495F" w:rsidRPr="003E5D10" w14:paraId="72337E7A" w14:textId="77777777" w:rsidTr="00EE1DCA">
        <w:trPr>
          <w:trHeight w:val="300"/>
        </w:trPr>
        <w:tc>
          <w:tcPr>
            <w:tcW w:w="1340" w:type="dxa"/>
            <w:vMerge/>
            <w:tcBorders>
              <w:top w:val="nil"/>
              <w:left w:val="single" w:sz="8" w:space="0" w:color="auto"/>
              <w:bottom w:val="single" w:sz="8" w:space="0" w:color="000000"/>
              <w:right w:val="nil"/>
            </w:tcBorders>
            <w:vAlign w:val="center"/>
            <w:hideMark/>
          </w:tcPr>
          <w:p w14:paraId="7E2ACE5F"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8" w:space="0" w:color="auto"/>
              <w:bottom w:val="single" w:sz="8" w:space="0" w:color="000000"/>
              <w:right w:val="single" w:sz="4" w:space="0" w:color="auto"/>
            </w:tcBorders>
            <w:vAlign w:val="center"/>
            <w:hideMark/>
          </w:tcPr>
          <w:p w14:paraId="4B3C08AC"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8" w:space="0" w:color="000000"/>
              <w:right w:val="single" w:sz="4" w:space="0" w:color="auto"/>
            </w:tcBorders>
            <w:vAlign w:val="center"/>
            <w:hideMark/>
          </w:tcPr>
          <w:p w14:paraId="5925998E"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8" w:space="0" w:color="000000"/>
              <w:right w:val="single" w:sz="4" w:space="0" w:color="auto"/>
            </w:tcBorders>
            <w:vAlign w:val="center"/>
            <w:hideMark/>
          </w:tcPr>
          <w:p w14:paraId="1280CC15"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8" w:space="0" w:color="000000"/>
              <w:right w:val="single" w:sz="4" w:space="0" w:color="auto"/>
            </w:tcBorders>
            <w:vAlign w:val="center"/>
            <w:hideMark/>
          </w:tcPr>
          <w:p w14:paraId="7221FFE4"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8" w:space="0" w:color="000000"/>
              <w:right w:val="single" w:sz="8" w:space="0" w:color="auto"/>
            </w:tcBorders>
            <w:vAlign w:val="center"/>
            <w:hideMark/>
          </w:tcPr>
          <w:p w14:paraId="1D62CBDC" w14:textId="77777777" w:rsidR="006F495F" w:rsidRPr="003E5D10" w:rsidRDefault="006F495F" w:rsidP="00EE1DCA">
            <w:pPr>
              <w:spacing w:after="0" w:line="240" w:lineRule="auto"/>
              <w:rPr>
                <w:rFonts w:ascii="Calibri" w:eastAsia="Times New Roman" w:hAnsi="Calibri" w:cs="Times New Roman"/>
                <w:color w:val="000000"/>
                <w:sz w:val="20"/>
                <w:szCs w:val="20"/>
              </w:rPr>
            </w:pPr>
          </w:p>
        </w:tc>
      </w:tr>
      <w:tr w:rsidR="006F495F" w:rsidRPr="003E5D10" w14:paraId="4432EEFA" w14:textId="77777777" w:rsidTr="00EE1DCA">
        <w:trPr>
          <w:trHeight w:val="315"/>
        </w:trPr>
        <w:tc>
          <w:tcPr>
            <w:tcW w:w="1340" w:type="dxa"/>
            <w:vMerge/>
            <w:tcBorders>
              <w:top w:val="nil"/>
              <w:left w:val="single" w:sz="8" w:space="0" w:color="auto"/>
              <w:bottom w:val="single" w:sz="8" w:space="0" w:color="000000"/>
              <w:right w:val="nil"/>
            </w:tcBorders>
            <w:vAlign w:val="center"/>
            <w:hideMark/>
          </w:tcPr>
          <w:p w14:paraId="3C87FA11"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8" w:space="0" w:color="auto"/>
              <w:bottom w:val="single" w:sz="8" w:space="0" w:color="000000"/>
              <w:right w:val="single" w:sz="4" w:space="0" w:color="auto"/>
            </w:tcBorders>
            <w:vAlign w:val="center"/>
            <w:hideMark/>
          </w:tcPr>
          <w:p w14:paraId="47913FCF"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8" w:space="0" w:color="000000"/>
              <w:right w:val="single" w:sz="4" w:space="0" w:color="auto"/>
            </w:tcBorders>
            <w:vAlign w:val="center"/>
            <w:hideMark/>
          </w:tcPr>
          <w:p w14:paraId="2A49B5AD"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8" w:space="0" w:color="000000"/>
              <w:right w:val="single" w:sz="4" w:space="0" w:color="auto"/>
            </w:tcBorders>
            <w:vAlign w:val="center"/>
            <w:hideMark/>
          </w:tcPr>
          <w:p w14:paraId="68CB80A4"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8" w:space="0" w:color="000000"/>
              <w:right w:val="single" w:sz="4" w:space="0" w:color="auto"/>
            </w:tcBorders>
            <w:vAlign w:val="center"/>
            <w:hideMark/>
          </w:tcPr>
          <w:p w14:paraId="621308C4" w14:textId="77777777" w:rsidR="006F495F" w:rsidRPr="003E5D10" w:rsidRDefault="006F495F" w:rsidP="00EE1DCA">
            <w:pPr>
              <w:spacing w:after="0" w:line="240" w:lineRule="auto"/>
              <w:rPr>
                <w:rFonts w:ascii="Calibri" w:eastAsia="Times New Roman" w:hAnsi="Calibri" w:cs="Times New Roman"/>
                <w:color w:val="000000"/>
                <w:sz w:val="20"/>
                <w:szCs w:val="20"/>
              </w:rPr>
            </w:pPr>
          </w:p>
        </w:tc>
        <w:tc>
          <w:tcPr>
            <w:tcW w:w="1120" w:type="dxa"/>
            <w:vMerge/>
            <w:tcBorders>
              <w:top w:val="nil"/>
              <w:left w:val="single" w:sz="4" w:space="0" w:color="auto"/>
              <w:bottom w:val="single" w:sz="8" w:space="0" w:color="000000"/>
              <w:right w:val="single" w:sz="8" w:space="0" w:color="auto"/>
            </w:tcBorders>
            <w:vAlign w:val="center"/>
            <w:hideMark/>
          </w:tcPr>
          <w:p w14:paraId="0F442458" w14:textId="77777777" w:rsidR="006F495F" w:rsidRPr="003E5D10" w:rsidRDefault="006F495F" w:rsidP="00EE1DCA">
            <w:pPr>
              <w:spacing w:after="0" w:line="240" w:lineRule="auto"/>
              <w:rPr>
                <w:rFonts w:ascii="Calibri" w:eastAsia="Times New Roman" w:hAnsi="Calibri" w:cs="Times New Roman"/>
                <w:color w:val="000000"/>
                <w:sz w:val="20"/>
                <w:szCs w:val="20"/>
              </w:rPr>
            </w:pPr>
          </w:p>
        </w:tc>
      </w:tr>
    </w:tbl>
    <w:p w14:paraId="7106D0B2" w14:textId="77777777" w:rsidR="006F495F" w:rsidRDefault="006F495F" w:rsidP="007E28E9">
      <w:pPr>
        <w:pStyle w:val="NoSpacing"/>
        <w:tabs>
          <w:tab w:val="left" w:pos="2042"/>
        </w:tabs>
        <w:rPr>
          <w:b/>
          <w:i/>
          <w:sz w:val="24"/>
          <w:szCs w:val="24"/>
        </w:rPr>
      </w:pPr>
    </w:p>
    <w:p w14:paraId="6A98FBEC" w14:textId="67B70229" w:rsidR="00DF4F85" w:rsidRPr="00DF4F85" w:rsidRDefault="00DF4F85" w:rsidP="007E28E9">
      <w:pPr>
        <w:pStyle w:val="NoSpacing"/>
        <w:tabs>
          <w:tab w:val="left" w:pos="2042"/>
        </w:tabs>
        <w:rPr>
          <w:sz w:val="24"/>
          <w:szCs w:val="24"/>
        </w:rPr>
      </w:pPr>
      <w:r>
        <w:rPr>
          <w:sz w:val="24"/>
          <w:szCs w:val="24"/>
        </w:rPr>
        <w:t>In many of the categories above, Arkansas performs better than the national standard, which is commendable given the severe resource limits under which DCFS operates.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686"/>
      </w:tblGrid>
      <w:tr w:rsidR="006F495F" w:rsidRPr="005D1BB3" w14:paraId="18B1BD1F" w14:textId="77777777" w:rsidTr="00EE1DCA">
        <w:trPr>
          <w:trHeight w:val="93"/>
        </w:trPr>
        <w:tc>
          <w:tcPr>
            <w:tcW w:w="7686" w:type="dxa"/>
          </w:tcPr>
          <w:p w14:paraId="2D8141BD" w14:textId="77777777" w:rsidR="006F495F" w:rsidRPr="005D1BB3" w:rsidRDefault="006F495F" w:rsidP="00EE1DCA">
            <w:pPr>
              <w:pStyle w:val="Default"/>
              <w:rPr>
                <w:rFonts w:asciiTheme="minorHAnsi" w:hAnsiTheme="minorHAnsi"/>
              </w:rPr>
            </w:pPr>
          </w:p>
          <w:p w14:paraId="52C3B9EA" w14:textId="77777777" w:rsidR="006F495F" w:rsidRPr="005D1BB3" w:rsidRDefault="006F495F" w:rsidP="00EE1DCA">
            <w:pPr>
              <w:pStyle w:val="Default"/>
              <w:tabs>
                <w:tab w:val="left" w:pos="3600"/>
              </w:tabs>
              <w:rPr>
                <w:rFonts w:asciiTheme="minorHAnsi" w:hAnsiTheme="minorHAnsi"/>
                <w:b/>
                <w:i/>
              </w:rPr>
            </w:pPr>
            <w:r w:rsidRPr="005D1BB3">
              <w:rPr>
                <w:rFonts w:asciiTheme="minorHAnsi" w:hAnsiTheme="minorHAnsi"/>
                <w:b/>
                <w:i/>
              </w:rPr>
              <w:t>Reunification within 12 Months</w:t>
            </w:r>
            <w:r w:rsidRPr="005D1BB3">
              <w:rPr>
                <w:rFonts w:asciiTheme="minorHAnsi" w:hAnsiTheme="minorHAnsi"/>
                <w:b/>
                <w:i/>
              </w:rPr>
              <w:tab/>
            </w:r>
          </w:p>
          <w:p w14:paraId="39C02013" w14:textId="77777777" w:rsidR="006F495F" w:rsidRPr="005D1BB3" w:rsidRDefault="006F495F" w:rsidP="00EE1DCA">
            <w:pPr>
              <w:pStyle w:val="Default"/>
              <w:rPr>
                <w:rFonts w:asciiTheme="minorHAnsi" w:hAnsiTheme="minorHAnsi"/>
                <w:i/>
              </w:rPr>
            </w:pPr>
            <w:r w:rsidRPr="005D1BB3">
              <w:rPr>
                <w:rFonts w:asciiTheme="minorHAnsi" w:hAnsiTheme="minorHAnsi"/>
                <w:i/>
              </w:rPr>
              <w:t>Percent of Children Reunified within 12 months of Removal</w:t>
            </w:r>
          </w:p>
          <w:p w14:paraId="1A9B391E" w14:textId="77777777" w:rsidR="006F495F" w:rsidRDefault="006F495F" w:rsidP="00EE1DCA">
            <w:pPr>
              <w:pStyle w:val="Default"/>
              <w:rPr>
                <w:rFonts w:asciiTheme="minorHAnsi" w:hAnsiTheme="minorHAnsi"/>
              </w:rPr>
            </w:pPr>
            <w:r>
              <w:rPr>
                <w:rFonts w:asciiTheme="minorHAnsi" w:hAnsiTheme="minorHAnsi"/>
              </w:rPr>
              <w:t>National Standard = 48.4% or more</w:t>
            </w:r>
          </w:p>
          <w:p w14:paraId="4FEB00ED" w14:textId="77777777" w:rsidR="006F495F" w:rsidRPr="005D1BB3" w:rsidRDefault="006F495F" w:rsidP="00EE1DCA">
            <w:pPr>
              <w:pStyle w:val="Default"/>
              <w:rPr>
                <w:rFonts w:asciiTheme="minorHAnsi" w:hAnsiTheme="minorHAnsi"/>
              </w:rPr>
            </w:pPr>
            <w:r>
              <w:rPr>
                <w:rFonts w:asciiTheme="minorHAnsi" w:hAnsiTheme="minorHAnsi"/>
              </w:rPr>
              <w:t>2011 – 6</w:t>
            </w:r>
            <w:r w:rsidRPr="005D1BB3">
              <w:rPr>
                <w:rFonts w:asciiTheme="minorHAnsi" w:hAnsiTheme="minorHAnsi"/>
              </w:rPr>
              <w:t>5</w:t>
            </w:r>
            <w:r>
              <w:rPr>
                <w:rFonts w:asciiTheme="minorHAnsi" w:hAnsiTheme="minorHAnsi"/>
              </w:rPr>
              <w:t>%</w:t>
            </w:r>
          </w:p>
          <w:p w14:paraId="058F5373" w14:textId="77777777" w:rsidR="006F495F" w:rsidRPr="005D1BB3" w:rsidRDefault="006F495F" w:rsidP="00EE1DCA">
            <w:pPr>
              <w:pStyle w:val="Default"/>
              <w:rPr>
                <w:rFonts w:asciiTheme="minorHAnsi" w:hAnsiTheme="minorHAnsi"/>
              </w:rPr>
            </w:pPr>
            <w:r>
              <w:rPr>
                <w:rFonts w:asciiTheme="minorHAnsi" w:hAnsiTheme="minorHAnsi"/>
              </w:rPr>
              <w:t>2012 – 6</w:t>
            </w:r>
            <w:r w:rsidRPr="005D1BB3">
              <w:rPr>
                <w:rFonts w:asciiTheme="minorHAnsi" w:hAnsiTheme="minorHAnsi"/>
              </w:rPr>
              <w:t>3</w:t>
            </w:r>
            <w:r>
              <w:rPr>
                <w:rFonts w:asciiTheme="minorHAnsi" w:hAnsiTheme="minorHAnsi"/>
              </w:rPr>
              <w:t>%</w:t>
            </w:r>
          </w:p>
          <w:p w14:paraId="668123F7" w14:textId="77777777" w:rsidR="006F495F" w:rsidRPr="005D1BB3" w:rsidRDefault="006F495F" w:rsidP="00EE1DCA">
            <w:pPr>
              <w:pStyle w:val="Default"/>
              <w:rPr>
                <w:rFonts w:asciiTheme="minorHAnsi" w:hAnsiTheme="minorHAnsi"/>
              </w:rPr>
            </w:pPr>
            <w:r w:rsidRPr="005D1BB3">
              <w:rPr>
                <w:rFonts w:asciiTheme="minorHAnsi" w:hAnsiTheme="minorHAnsi"/>
              </w:rPr>
              <w:t xml:space="preserve">2013 – </w:t>
            </w:r>
            <w:r>
              <w:rPr>
                <w:rFonts w:asciiTheme="minorHAnsi" w:hAnsiTheme="minorHAnsi"/>
              </w:rPr>
              <w:t>63%</w:t>
            </w:r>
          </w:p>
          <w:p w14:paraId="034D959F" w14:textId="77777777" w:rsidR="006F495F" w:rsidRDefault="006F495F" w:rsidP="00EE1DCA">
            <w:pPr>
              <w:pStyle w:val="Default"/>
              <w:rPr>
                <w:rFonts w:asciiTheme="minorHAnsi" w:hAnsiTheme="minorHAnsi"/>
              </w:rPr>
            </w:pPr>
            <w:r>
              <w:rPr>
                <w:rFonts w:asciiTheme="minorHAnsi" w:hAnsiTheme="minorHAnsi"/>
              </w:rPr>
              <w:t>2014 – 61%</w:t>
            </w:r>
          </w:p>
          <w:p w14:paraId="5271B4E6" w14:textId="77777777" w:rsidR="006F495F" w:rsidRDefault="006F495F" w:rsidP="00EE1DCA">
            <w:pPr>
              <w:pStyle w:val="Default"/>
              <w:rPr>
                <w:rFonts w:asciiTheme="minorHAnsi" w:hAnsiTheme="minorHAnsi"/>
              </w:rPr>
            </w:pPr>
            <w:r>
              <w:rPr>
                <w:rFonts w:asciiTheme="minorHAnsi" w:hAnsiTheme="minorHAnsi"/>
              </w:rPr>
              <w:t>2015 – 61% (2</w:t>
            </w:r>
            <w:r w:rsidRPr="00531AD2">
              <w:rPr>
                <w:rFonts w:asciiTheme="minorHAnsi" w:hAnsiTheme="minorHAnsi"/>
                <w:vertAlign w:val="superscript"/>
              </w:rPr>
              <w:t>nd</w:t>
            </w:r>
            <w:r>
              <w:rPr>
                <w:rFonts w:asciiTheme="minorHAnsi" w:hAnsiTheme="minorHAnsi"/>
              </w:rPr>
              <w:t xml:space="preserve"> Qtr. QPR)</w:t>
            </w:r>
          </w:p>
          <w:p w14:paraId="72DACCD0" w14:textId="77777777" w:rsidR="00DF4F85" w:rsidRDefault="00DF4F85" w:rsidP="00EE1DCA">
            <w:pPr>
              <w:pStyle w:val="Default"/>
              <w:rPr>
                <w:rFonts w:asciiTheme="minorHAnsi" w:hAnsiTheme="minorHAnsi"/>
              </w:rPr>
            </w:pPr>
          </w:p>
          <w:p w14:paraId="100AF5FF" w14:textId="41E2FB07" w:rsidR="000B0A26" w:rsidRDefault="00DF4F85" w:rsidP="00EE1DCA">
            <w:pPr>
              <w:pStyle w:val="Default"/>
              <w:rPr>
                <w:rFonts w:asciiTheme="minorHAnsi" w:hAnsiTheme="minorHAnsi"/>
              </w:rPr>
            </w:pPr>
            <w:r>
              <w:rPr>
                <w:rFonts w:asciiTheme="minorHAnsi" w:hAnsiTheme="minorHAnsi"/>
              </w:rPr>
              <w:t xml:space="preserve">DCFS </w:t>
            </w:r>
            <w:r w:rsidR="002570E6">
              <w:rPr>
                <w:rFonts w:asciiTheme="minorHAnsi" w:hAnsiTheme="minorHAnsi"/>
              </w:rPr>
              <w:t>exceeds</w:t>
            </w:r>
            <w:r>
              <w:rPr>
                <w:rFonts w:asciiTheme="minorHAnsi" w:hAnsiTheme="minorHAnsi"/>
              </w:rPr>
              <w:t xml:space="preserve"> the national standard.</w:t>
            </w:r>
          </w:p>
          <w:p w14:paraId="6F35C7FA" w14:textId="77777777" w:rsidR="006F495F" w:rsidRPr="005D1BB3" w:rsidRDefault="006F495F" w:rsidP="00EE1DCA">
            <w:pPr>
              <w:pStyle w:val="Default"/>
              <w:rPr>
                <w:rFonts w:asciiTheme="minorHAnsi" w:hAnsiTheme="minorHAnsi"/>
              </w:rPr>
            </w:pPr>
          </w:p>
          <w:p w14:paraId="7D45AC4A" w14:textId="77777777" w:rsidR="006F495F" w:rsidRPr="005D1BB3" w:rsidRDefault="006F495F" w:rsidP="00EE1DCA">
            <w:pPr>
              <w:pStyle w:val="Default"/>
              <w:rPr>
                <w:rFonts w:asciiTheme="minorHAnsi" w:hAnsiTheme="minorHAnsi"/>
                <w:b/>
                <w:i/>
              </w:rPr>
            </w:pPr>
            <w:r w:rsidRPr="005D1BB3">
              <w:rPr>
                <w:rFonts w:asciiTheme="minorHAnsi" w:hAnsiTheme="minorHAnsi"/>
                <w:b/>
                <w:i/>
              </w:rPr>
              <w:t>Re-entries into Foster Care</w:t>
            </w:r>
          </w:p>
          <w:p w14:paraId="74EF976E" w14:textId="77777777" w:rsidR="006F495F" w:rsidRPr="004A0093" w:rsidRDefault="006F495F" w:rsidP="00EE1DCA">
            <w:pPr>
              <w:pStyle w:val="Default"/>
              <w:rPr>
                <w:rFonts w:asciiTheme="minorHAnsi" w:hAnsiTheme="minorHAnsi"/>
                <w:i/>
              </w:rPr>
            </w:pPr>
            <w:r w:rsidRPr="004A0093">
              <w:rPr>
                <w:rFonts w:asciiTheme="minorHAnsi" w:hAnsiTheme="minorHAnsi"/>
                <w:i/>
              </w:rPr>
              <w:t>Percent of Children Re-entering Care within 12 months of Reunifying</w:t>
            </w:r>
          </w:p>
          <w:p w14:paraId="26913D3D" w14:textId="77777777" w:rsidR="006F495F" w:rsidRPr="005D1BB3" w:rsidRDefault="006F495F" w:rsidP="00EE1DCA">
            <w:pPr>
              <w:pStyle w:val="Default"/>
              <w:rPr>
                <w:rFonts w:asciiTheme="minorHAnsi" w:hAnsiTheme="minorHAnsi"/>
              </w:rPr>
            </w:pPr>
            <w:r>
              <w:rPr>
                <w:rFonts w:asciiTheme="minorHAnsi" w:hAnsiTheme="minorHAnsi"/>
              </w:rPr>
              <w:t>National Standard = 9.9% or less</w:t>
            </w:r>
          </w:p>
          <w:p w14:paraId="2CE724C1" w14:textId="77777777" w:rsidR="006F495F" w:rsidRPr="005D1BB3" w:rsidRDefault="006F495F" w:rsidP="00EE1DCA">
            <w:pPr>
              <w:pStyle w:val="Default"/>
              <w:rPr>
                <w:rFonts w:asciiTheme="minorHAnsi" w:hAnsiTheme="minorHAnsi"/>
              </w:rPr>
            </w:pPr>
            <w:r w:rsidRPr="005D1BB3">
              <w:rPr>
                <w:rFonts w:asciiTheme="minorHAnsi" w:hAnsiTheme="minorHAnsi"/>
              </w:rPr>
              <w:t>2011 – 10.1</w:t>
            </w:r>
            <w:r>
              <w:rPr>
                <w:rFonts w:asciiTheme="minorHAnsi" w:hAnsiTheme="minorHAnsi"/>
              </w:rPr>
              <w:t>%</w:t>
            </w:r>
          </w:p>
          <w:p w14:paraId="3A79C08D" w14:textId="77777777" w:rsidR="006F495F" w:rsidRPr="005D1BB3" w:rsidRDefault="006F495F" w:rsidP="00EE1DCA">
            <w:pPr>
              <w:pStyle w:val="Default"/>
              <w:rPr>
                <w:rFonts w:asciiTheme="minorHAnsi" w:hAnsiTheme="minorHAnsi"/>
              </w:rPr>
            </w:pPr>
            <w:r w:rsidRPr="005D1BB3">
              <w:rPr>
                <w:rFonts w:asciiTheme="minorHAnsi" w:hAnsiTheme="minorHAnsi"/>
              </w:rPr>
              <w:t>2012 –   9.</w:t>
            </w:r>
            <w:r>
              <w:rPr>
                <w:rFonts w:asciiTheme="minorHAnsi" w:hAnsiTheme="minorHAnsi"/>
              </w:rPr>
              <w:t>2%</w:t>
            </w:r>
          </w:p>
          <w:p w14:paraId="6BDCC327" w14:textId="77777777" w:rsidR="006F495F" w:rsidRPr="005D1BB3" w:rsidRDefault="006F495F" w:rsidP="00EE1DCA">
            <w:pPr>
              <w:pStyle w:val="Default"/>
              <w:rPr>
                <w:rFonts w:asciiTheme="minorHAnsi" w:hAnsiTheme="minorHAnsi"/>
              </w:rPr>
            </w:pPr>
            <w:r w:rsidRPr="005D1BB3">
              <w:rPr>
                <w:rFonts w:asciiTheme="minorHAnsi" w:hAnsiTheme="minorHAnsi"/>
              </w:rPr>
              <w:t>2013 –   8.</w:t>
            </w:r>
            <w:r>
              <w:rPr>
                <w:rFonts w:asciiTheme="minorHAnsi" w:hAnsiTheme="minorHAnsi"/>
              </w:rPr>
              <w:t>8%</w:t>
            </w:r>
          </w:p>
          <w:p w14:paraId="0F379885" w14:textId="77777777" w:rsidR="006F495F" w:rsidRDefault="006F495F" w:rsidP="00EE1DCA">
            <w:pPr>
              <w:pStyle w:val="Default"/>
              <w:rPr>
                <w:rFonts w:asciiTheme="minorHAnsi" w:hAnsiTheme="minorHAnsi"/>
              </w:rPr>
            </w:pPr>
            <w:r>
              <w:rPr>
                <w:rFonts w:asciiTheme="minorHAnsi" w:hAnsiTheme="minorHAnsi"/>
              </w:rPr>
              <w:t>2014 –   7.5%</w:t>
            </w:r>
          </w:p>
          <w:p w14:paraId="62E2E8C7" w14:textId="43BE9F99" w:rsidR="006F495F" w:rsidRDefault="006F495F" w:rsidP="00EE1DCA">
            <w:pPr>
              <w:pStyle w:val="Default"/>
              <w:rPr>
                <w:rFonts w:asciiTheme="minorHAnsi" w:hAnsiTheme="minorHAnsi"/>
              </w:rPr>
            </w:pPr>
            <w:r>
              <w:rPr>
                <w:rFonts w:asciiTheme="minorHAnsi" w:hAnsiTheme="minorHAnsi"/>
              </w:rPr>
              <w:t>2015</w:t>
            </w:r>
            <w:r w:rsidR="00F1169E">
              <w:rPr>
                <w:rFonts w:asciiTheme="minorHAnsi" w:hAnsiTheme="minorHAnsi"/>
              </w:rPr>
              <w:t xml:space="preserve"> – 12.7% (2</w:t>
            </w:r>
            <w:r w:rsidR="00F1169E" w:rsidRPr="00F1169E">
              <w:rPr>
                <w:rFonts w:asciiTheme="minorHAnsi" w:hAnsiTheme="minorHAnsi"/>
                <w:vertAlign w:val="superscript"/>
              </w:rPr>
              <w:t>nd</w:t>
            </w:r>
            <w:r w:rsidR="00F1169E">
              <w:rPr>
                <w:rFonts w:asciiTheme="minorHAnsi" w:hAnsiTheme="minorHAnsi"/>
              </w:rPr>
              <w:t xml:space="preserve"> </w:t>
            </w:r>
            <w:r>
              <w:rPr>
                <w:rFonts w:asciiTheme="minorHAnsi" w:hAnsiTheme="minorHAnsi"/>
              </w:rPr>
              <w:t>Qtr. QPR)</w:t>
            </w:r>
          </w:p>
          <w:p w14:paraId="3608F88E" w14:textId="02FD9C2F" w:rsidR="006F495F" w:rsidRDefault="00F1169E" w:rsidP="00EE1DCA">
            <w:pPr>
              <w:pStyle w:val="Default"/>
              <w:rPr>
                <w:rFonts w:asciiTheme="minorHAnsi" w:hAnsiTheme="minorHAnsi"/>
              </w:rPr>
            </w:pPr>
            <w:r>
              <w:rPr>
                <w:rFonts w:asciiTheme="minorHAnsi" w:hAnsiTheme="minorHAnsi"/>
              </w:rPr>
              <w:t>2015 -    8.4% (3</w:t>
            </w:r>
            <w:r w:rsidRPr="00F1169E">
              <w:rPr>
                <w:rFonts w:asciiTheme="minorHAnsi" w:hAnsiTheme="minorHAnsi"/>
                <w:vertAlign w:val="superscript"/>
              </w:rPr>
              <w:t>rd</w:t>
            </w:r>
            <w:r>
              <w:rPr>
                <w:rFonts w:asciiTheme="minorHAnsi" w:hAnsiTheme="minorHAnsi"/>
              </w:rPr>
              <w:t xml:space="preserve"> Qtr. QPR)</w:t>
            </w:r>
          </w:p>
          <w:p w14:paraId="7BA36D5A" w14:textId="77777777" w:rsidR="006F495F" w:rsidRDefault="006F495F" w:rsidP="00EE1DCA">
            <w:pPr>
              <w:pStyle w:val="Default"/>
              <w:rPr>
                <w:rFonts w:asciiTheme="minorHAnsi" w:hAnsiTheme="minorHAnsi"/>
              </w:rPr>
            </w:pPr>
          </w:p>
          <w:p w14:paraId="0F107359" w14:textId="77777777" w:rsidR="00DF4F85" w:rsidRDefault="000B0A26" w:rsidP="00EE1DCA">
            <w:pPr>
              <w:pStyle w:val="Default"/>
              <w:rPr>
                <w:rFonts w:asciiTheme="minorHAnsi" w:hAnsiTheme="minorHAnsi"/>
              </w:rPr>
            </w:pPr>
            <w:r>
              <w:rPr>
                <w:rFonts w:asciiTheme="minorHAnsi" w:hAnsiTheme="minorHAnsi"/>
              </w:rPr>
              <w:t>DFCS exceeded</w:t>
            </w:r>
            <w:r w:rsidR="00DF4F85">
              <w:rPr>
                <w:rFonts w:asciiTheme="minorHAnsi" w:hAnsiTheme="minorHAnsi"/>
              </w:rPr>
              <w:t xml:space="preserve"> the national standard for the 3</w:t>
            </w:r>
            <w:r w:rsidR="00DF4F85" w:rsidRPr="00DF4F85">
              <w:rPr>
                <w:rFonts w:asciiTheme="minorHAnsi" w:hAnsiTheme="minorHAnsi"/>
                <w:vertAlign w:val="superscript"/>
              </w:rPr>
              <w:t>rd</w:t>
            </w:r>
            <w:r w:rsidR="00DF4F85">
              <w:rPr>
                <w:rFonts w:asciiTheme="minorHAnsi" w:hAnsiTheme="minorHAnsi"/>
              </w:rPr>
              <w:t xml:space="preserve"> quarter and also did so in 2012, 2013 and 2014.</w:t>
            </w:r>
          </w:p>
          <w:p w14:paraId="0525E292" w14:textId="77777777" w:rsidR="001F5BE9" w:rsidRDefault="001F5BE9" w:rsidP="00EE1DCA">
            <w:pPr>
              <w:pStyle w:val="Default"/>
              <w:rPr>
                <w:rFonts w:asciiTheme="minorHAnsi" w:hAnsiTheme="minorHAnsi"/>
              </w:rPr>
            </w:pPr>
          </w:p>
          <w:p w14:paraId="11342665" w14:textId="0953E058" w:rsidR="001F5BE9" w:rsidRPr="005D1BB3" w:rsidRDefault="001F5BE9" w:rsidP="00EE1DCA">
            <w:pPr>
              <w:pStyle w:val="Default"/>
              <w:rPr>
                <w:rFonts w:asciiTheme="minorHAnsi" w:hAnsiTheme="minorHAnsi"/>
              </w:rPr>
            </w:pPr>
          </w:p>
        </w:tc>
      </w:tr>
    </w:tbl>
    <w:p w14:paraId="0DE1C2B2" w14:textId="77777777" w:rsidR="00DF4F85" w:rsidRPr="005D1BB3" w:rsidRDefault="00DF4F85" w:rsidP="007E28E9">
      <w:pPr>
        <w:pStyle w:val="NoSpacing"/>
        <w:tabs>
          <w:tab w:val="left" w:pos="2042"/>
        </w:tabs>
        <w:rPr>
          <w:b/>
          <w:i/>
          <w:sz w:val="24"/>
          <w:szCs w:val="24"/>
        </w:rPr>
      </w:pPr>
    </w:p>
    <w:p w14:paraId="382C6071" w14:textId="77777777" w:rsidR="007E28E9" w:rsidRDefault="00B6481A" w:rsidP="007E28E9">
      <w:pPr>
        <w:pStyle w:val="NoSpacing"/>
        <w:rPr>
          <w:b/>
          <w:i/>
          <w:sz w:val="24"/>
          <w:szCs w:val="24"/>
        </w:rPr>
      </w:pPr>
      <w:r w:rsidRPr="005D1BB3">
        <w:rPr>
          <w:b/>
          <w:i/>
          <w:sz w:val="24"/>
          <w:szCs w:val="24"/>
        </w:rPr>
        <w:t>Placement Stability</w:t>
      </w:r>
    </w:p>
    <w:p w14:paraId="197C944A" w14:textId="77777777" w:rsidR="006F495F" w:rsidRDefault="006F495F" w:rsidP="007E28E9">
      <w:pPr>
        <w:pStyle w:val="NoSpacing"/>
        <w:rPr>
          <w:b/>
          <w:i/>
          <w:sz w:val="24"/>
          <w:szCs w:val="24"/>
        </w:rPr>
      </w:pPr>
    </w:p>
    <w:tbl>
      <w:tblPr>
        <w:tblW w:w="5680" w:type="dxa"/>
        <w:tblInd w:w="93" w:type="dxa"/>
        <w:tblLook w:val="04A0" w:firstRow="1" w:lastRow="0" w:firstColumn="1" w:lastColumn="0" w:noHBand="0" w:noVBand="1"/>
      </w:tblPr>
      <w:tblGrid>
        <w:gridCol w:w="1271"/>
        <w:gridCol w:w="893"/>
        <w:gridCol w:w="850"/>
        <w:gridCol w:w="817"/>
        <w:gridCol w:w="1058"/>
        <w:gridCol w:w="793"/>
      </w:tblGrid>
      <w:tr w:rsidR="006F495F" w:rsidRPr="00680BBA" w14:paraId="61DDBBF5" w14:textId="77777777" w:rsidTr="00EE1DCA">
        <w:trPr>
          <w:trHeight w:val="330"/>
        </w:trPr>
        <w:tc>
          <w:tcPr>
            <w:tcW w:w="5680" w:type="dxa"/>
            <w:gridSpan w:val="6"/>
            <w:tcBorders>
              <w:top w:val="nil"/>
              <w:left w:val="nil"/>
              <w:bottom w:val="single" w:sz="8" w:space="0" w:color="auto"/>
              <w:right w:val="nil"/>
            </w:tcBorders>
            <w:shd w:val="clear" w:color="000000" w:fill="000000"/>
            <w:noWrap/>
            <w:vAlign w:val="center"/>
            <w:hideMark/>
          </w:tcPr>
          <w:p w14:paraId="5B518810" w14:textId="77777777" w:rsidR="006F495F" w:rsidRPr="00680BBA" w:rsidRDefault="006F495F" w:rsidP="00EE1DCA">
            <w:pPr>
              <w:spacing w:after="0" w:line="240" w:lineRule="auto"/>
              <w:jc w:val="center"/>
              <w:rPr>
                <w:rFonts w:ascii="Calibri" w:eastAsia="Times New Roman" w:hAnsi="Calibri" w:cs="Times New Roman"/>
                <w:b/>
                <w:bCs/>
                <w:color w:val="FFFFFF"/>
                <w:sz w:val="24"/>
                <w:szCs w:val="24"/>
              </w:rPr>
            </w:pPr>
            <w:r w:rsidRPr="00680BBA">
              <w:rPr>
                <w:rFonts w:ascii="Calibri" w:eastAsia="Times New Roman" w:hAnsi="Calibri" w:cs="Times New Roman"/>
                <w:b/>
                <w:bCs/>
                <w:color w:val="FFFFFF"/>
                <w:sz w:val="24"/>
                <w:szCs w:val="24"/>
              </w:rPr>
              <w:t>Placement Stability</w:t>
            </w:r>
          </w:p>
        </w:tc>
      </w:tr>
      <w:tr w:rsidR="006F495F" w:rsidRPr="00680BBA" w14:paraId="2C80590D" w14:textId="77777777" w:rsidTr="00EE1DCA">
        <w:trPr>
          <w:trHeight w:val="945"/>
        </w:trPr>
        <w:tc>
          <w:tcPr>
            <w:tcW w:w="1180" w:type="dxa"/>
            <w:tcBorders>
              <w:top w:val="nil"/>
              <w:left w:val="single" w:sz="8" w:space="0" w:color="auto"/>
              <w:bottom w:val="single" w:sz="8" w:space="0" w:color="auto"/>
              <w:right w:val="single" w:sz="8" w:space="0" w:color="auto"/>
            </w:tcBorders>
            <w:shd w:val="clear" w:color="000000" w:fill="F2F2F2"/>
            <w:vAlign w:val="center"/>
            <w:hideMark/>
          </w:tcPr>
          <w:p w14:paraId="1280804C" w14:textId="77777777" w:rsidR="006F495F" w:rsidRPr="00680BBA" w:rsidRDefault="006F495F" w:rsidP="00EE1DCA">
            <w:pPr>
              <w:spacing w:after="0" w:line="240" w:lineRule="auto"/>
              <w:jc w:val="center"/>
              <w:rPr>
                <w:rFonts w:ascii="Calibri" w:eastAsia="Times New Roman" w:hAnsi="Calibri" w:cs="Times New Roman"/>
                <w:b/>
                <w:bCs/>
                <w:color w:val="000000"/>
              </w:rPr>
            </w:pPr>
            <w:r w:rsidRPr="00680BBA">
              <w:rPr>
                <w:rFonts w:ascii="Calibri" w:eastAsia="Times New Roman" w:hAnsi="Calibri" w:cs="Times New Roman"/>
                <w:b/>
                <w:bCs/>
                <w:color w:val="000000"/>
              </w:rPr>
              <w:t>Number of Placements</w:t>
            </w:r>
          </w:p>
        </w:tc>
        <w:tc>
          <w:tcPr>
            <w:tcW w:w="900" w:type="dxa"/>
            <w:tcBorders>
              <w:top w:val="nil"/>
              <w:left w:val="nil"/>
              <w:bottom w:val="single" w:sz="8" w:space="0" w:color="auto"/>
              <w:right w:val="single" w:sz="4" w:space="0" w:color="auto"/>
            </w:tcBorders>
            <w:shd w:val="clear" w:color="000000" w:fill="F2F2F2"/>
            <w:vAlign w:val="center"/>
            <w:hideMark/>
          </w:tcPr>
          <w:p w14:paraId="66C6925D" w14:textId="77777777" w:rsidR="006F495F" w:rsidRPr="00680BBA" w:rsidRDefault="006F495F" w:rsidP="00EE1DCA">
            <w:pPr>
              <w:spacing w:after="0" w:line="240" w:lineRule="auto"/>
              <w:jc w:val="center"/>
              <w:rPr>
                <w:rFonts w:ascii="Calibri" w:eastAsia="Times New Roman" w:hAnsi="Calibri" w:cs="Times New Roman"/>
                <w:b/>
                <w:bCs/>
                <w:color w:val="000000"/>
              </w:rPr>
            </w:pPr>
            <w:r w:rsidRPr="00680BBA">
              <w:rPr>
                <w:rFonts w:ascii="Calibri" w:eastAsia="Times New Roman" w:hAnsi="Calibri" w:cs="Times New Roman"/>
                <w:b/>
                <w:bCs/>
                <w:color w:val="000000"/>
              </w:rPr>
              <w:t>2</w:t>
            </w:r>
            <w:r w:rsidRPr="00680BBA">
              <w:rPr>
                <w:rFonts w:ascii="Calibri" w:eastAsia="Times New Roman" w:hAnsi="Calibri" w:cs="Times New Roman"/>
                <w:b/>
                <w:bCs/>
                <w:color w:val="000000"/>
                <w:vertAlign w:val="superscript"/>
              </w:rPr>
              <w:t>nd</w:t>
            </w:r>
            <w:r w:rsidRPr="00680BBA">
              <w:rPr>
                <w:rFonts w:ascii="Calibri" w:eastAsia="Times New Roman" w:hAnsi="Calibri" w:cs="Times New Roman"/>
                <w:b/>
                <w:bCs/>
                <w:color w:val="000000"/>
              </w:rPr>
              <w:t xml:space="preserve"> QTR SFY 2011</w:t>
            </w:r>
          </w:p>
        </w:tc>
        <w:tc>
          <w:tcPr>
            <w:tcW w:w="900" w:type="dxa"/>
            <w:tcBorders>
              <w:top w:val="nil"/>
              <w:left w:val="nil"/>
              <w:bottom w:val="single" w:sz="8" w:space="0" w:color="auto"/>
              <w:right w:val="single" w:sz="4" w:space="0" w:color="auto"/>
            </w:tcBorders>
            <w:shd w:val="clear" w:color="000000" w:fill="F2F2F2"/>
            <w:vAlign w:val="center"/>
            <w:hideMark/>
          </w:tcPr>
          <w:p w14:paraId="6AE9E0CF" w14:textId="77777777" w:rsidR="006F495F" w:rsidRPr="00680BBA" w:rsidRDefault="006F495F" w:rsidP="00EE1DCA">
            <w:pPr>
              <w:spacing w:after="0" w:line="240" w:lineRule="auto"/>
              <w:jc w:val="center"/>
              <w:rPr>
                <w:rFonts w:ascii="Calibri" w:eastAsia="Times New Roman" w:hAnsi="Calibri" w:cs="Times New Roman"/>
                <w:b/>
                <w:bCs/>
                <w:color w:val="000000"/>
              </w:rPr>
            </w:pPr>
            <w:r w:rsidRPr="00680BBA">
              <w:rPr>
                <w:rFonts w:ascii="Calibri" w:eastAsia="Times New Roman" w:hAnsi="Calibri" w:cs="Times New Roman"/>
                <w:b/>
                <w:bCs/>
                <w:color w:val="000000"/>
              </w:rPr>
              <w:t>2</w:t>
            </w:r>
            <w:r w:rsidRPr="00680BBA">
              <w:rPr>
                <w:rFonts w:ascii="Calibri" w:eastAsia="Times New Roman" w:hAnsi="Calibri" w:cs="Times New Roman"/>
                <w:b/>
                <w:bCs/>
                <w:color w:val="000000"/>
                <w:vertAlign w:val="superscript"/>
              </w:rPr>
              <w:t>nd</w:t>
            </w:r>
            <w:r w:rsidRPr="00680BBA">
              <w:rPr>
                <w:rFonts w:ascii="Calibri" w:eastAsia="Times New Roman" w:hAnsi="Calibri" w:cs="Times New Roman"/>
                <w:b/>
                <w:bCs/>
                <w:color w:val="000000"/>
              </w:rPr>
              <w:t xml:space="preserve"> QTR SFY 2012</w:t>
            </w:r>
          </w:p>
        </w:tc>
        <w:tc>
          <w:tcPr>
            <w:tcW w:w="900" w:type="dxa"/>
            <w:tcBorders>
              <w:top w:val="nil"/>
              <w:left w:val="nil"/>
              <w:bottom w:val="single" w:sz="8" w:space="0" w:color="auto"/>
              <w:right w:val="single" w:sz="4" w:space="0" w:color="auto"/>
            </w:tcBorders>
            <w:shd w:val="clear" w:color="000000" w:fill="F2F2F2"/>
            <w:vAlign w:val="center"/>
            <w:hideMark/>
          </w:tcPr>
          <w:p w14:paraId="29625C0A" w14:textId="77777777" w:rsidR="006F495F" w:rsidRPr="00680BBA" w:rsidRDefault="006F495F" w:rsidP="00EE1DCA">
            <w:pPr>
              <w:spacing w:after="0" w:line="240" w:lineRule="auto"/>
              <w:jc w:val="center"/>
              <w:rPr>
                <w:rFonts w:ascii="Calibri" w:eastAsia="Times New Roman" w:hAnsi="Calibri" w:cs="Times New Roman"/>
                <w:b/>
                <w:bCs/>
                <w:color w:val="000000"/>
              </w:rPr>
            </w:pPr>
            <w:r w:rsidRPr="00680BBA">
              <w:rPr>
                <w:rFonts w:ascii="Calibri" w:eastAsia="Times New Roman" w:hAnsi="Calibri" w:cs="Times New Roman"/>
                <w:b/>
                <w:bCs/>
                <w:color w:val="000000"/>
              </w:rPr>
              <w:t>2</w:t>
            </w:r>
            <w:r w:rsidRPr="00680BBA">
              <w:rPr>
                <w:rFonts w:ascii="Calibri" w:eastAsia="Times New Roman" w:hAnsi="Calibri" w:cs="Times New Roman"/>
                <w:b/>
                <w:bCs/>
                <w:color w:val="000000"/>
                <w:vertAlign w:val="superscript"/>
              </w:rPr>
              <w:t>nd</w:t>
            </w:r>
            <w:r w:rsidRPr="00680BBA">
              <w:rPr>
                <w:rFonts w:ascii="Calibri" w:eastAsia="Times New Roman" w:hAnsi="Calibri" w:cs="Times New Roman"/>
                <w:b/>
                <w:bCs/>
                <w:color w:val="000000"/>
              </w:rPr>
              <w:t xml:space="preserve"> QTR SFY 2013</w:t>
            </w:r>
          </w:p>
        </w:tc>
        <w:tc>
          <w:tcPr>
            <w:tcW w:w="900" w:type="dxa"/>
            <w:tcBorders>
              <w:top w:val="nil"/>
              <w:left w:val="nil"/>
              <w:bottom w:val="single" w:sz="8" w:space="0" w:color="auto"/>
              <w:right w:val="single" w:sz="4" w:space="0" w:color="auto"/>
            </w:tcBorders>
            <w:shd w:val="clear" w:color="000000" w:fill="F2F2F2"/>
            <w:vAlign w:val="center"/>
            <w:hideMark/>
          </w:tcPr>
          <w:p w14:paraId="0C166383" w14:textId="77777777" w:rsidR="006F495F" w:rsidRDefault="006F495F" w:rsidP="00EE1DCA">
            <w:pPr>
              <w:spacing w:after="0" w:line="240" w:lineRule="auto"/>
              <w:jc w:val="center"/>
              <w:rPr>
                <w:rFonts w:ascii="Calibri" w:eastAsia="Times New Roman" w:hAnsi="Calibri" w:cs="Times New Roman"/>
                <w:b/>
                <w:bCs/>
                <w:color w:val="000000"/>
              </w:rPr>
            </w:pPr>
            <w:r w:rsidRPr="00680BBA">
              <w:rPr>
                <w:rFonts w:ascii="Calibri" w:eastAsia="Times New Roman" w:hAnsi="Calibri" w:cs="Times New Roman"/>
                <w:b/>
                <w:bCs/>
                <w:color w:val="000000"/>
              </w:rPr>
              <w:t>2</w:t>
            </w:r>
            <w:r w:rsidRPr="00680BBA">
              <w:rPr>
                <w:rFonts w:ascii="Calibri" w:eastAsia="Times New Roman" w:hAnsi="Calibri" w:cs="Times New Roman"/>
                <w:b/>
                <w:bCs/>
                <w:color w:val="000000"/>
                <w:vertAlign w:val="superscript"/>
              </w:rPr>
              <w:t>nd</w:t>
            </w:r>
            <w:r w:rsidRPr="00680BBA">
              <w:rPr>
                <w:rFonts w:ascii="Calibri" w:eastAsia="Times New Roman" w:hAnsi="Calibri" w:cs="Times New Roman"/>
                <w:b/>
                <w:bCs/>
                <w:color w:val="000000"/>
              </w:rPr>
              <w:t xml:space="preserve"> QTR SFY 2014</w:t>
            </w:r>
          </w:p>
          <w:p w14:paraId="3D71A268" w14:textId="51F44C84" w:rsidR="00DF4F85" w:rsidRPr="00680BBA" w:rsidRDefault="00DF4F85" w:rsidP="00EE1DCA">
            <w:pPr>
              <w:spacing w:after="0" w:line="240" w:lineRule="auto"/>
              <w:jc w:val="center"/>
              <w:rPr>
                <w:rFonts w:ascii="Calibri" w:eastAsia="Times New Roman" w:hAnsi="Calibri" w:cs="Times New Roman"/>
                <w:b/>
                <w:bCs/>
                <w:color w:val="000000"/>
              </w:rPr>
            </w:pPr>
            <w:r>
              <w:rPr>
                <w:rFonts w:ascii="Calibri" w:eastAsia="Times New Roman" w:hAnsi="Calibri" w:cs="Times New Roman"/>
                <w:color w:val="000000"/>
              </w:rPr>
              <w:t>Data not available</w:t>
            </w:r>
            <w:r w:rsidRPr="00680BBA">
              <w:rPr>
                <w:rFonts w:ascii="Calibri" w:eastAsia="Times New Roman" w:hAnsi="Calibri" w:cs="Times New Roman"/>
                <w:color w:val="000000"/>
              </w:rPr>
              <w:t> </w:t>
            </w:r>
          </w:p>
        </w:tc>
        <w:tc>
          <w:tcPr>
            <w:tcW w:w="900" w:type="dxa"/>
            <w:tcBorders>
              <w:top w:val="nil"/>
              <w:left w:val="nil"/>
              <w:bottom w:val="single" w:sz="8" w:space="0" w:color="auto"/>
              <w:right w:val="single" w:sz="8" w:space="0" w:color="auto"/>
            </w:tcBorders>
            <w:shd w:val="clear" w:color="000000" w:fill="F2F2F2"/>
            <w:vAlign w:val="center"/>
            <w:hideMark/>
          </w:tcPr>
          <w:p w14:paraId="4B704127" w14:textId="77777777" w:rsidR="006F495F" w:rsidRPr="00680BBA" w:rsidRDefault="006F495F" w:rsidP="00EE1DCA">
            <w:pPr>
              <w:spacing w:after="0" w:line="240" w:lineRule="auto"/>
              <w:jc w:val="center"/>
              <w:rPr>
                <w:rFonts w:ascii="Calibri" w:eastAsia="Times New Roman" w:hAnsi="Calibri" w:cs="Times New Roman"/>
                <w:b/>
                <w:bCs/>
                <w:color w:val="000000"/>
              </w:rPr>
            </w:pPr>
            <w:r w:rsidRPr="00680BBA">
              <w:rPr>
                <w:rFonts w:ascii="Calibri" w:eastAsia="Times New Roman" w:hAnsi="Calibri" w:cs="Times New Roman"/>
                <w:b/>
                <w:bCs/>
                <w:color w:val="000000"/>
              </w:rPr>
              <w:t>2</w:t>
            </w:r>
            <w:r w:rsidRPr="00680BBA">
              <w:rPr>
                <w:rFonts w:ascii="Calibri" w:eastAsia="Times New Roman" w:hAnsi="Calibri" w:cs="Times New Roman"/>
                <w:b/>
                <w:bCs/>
                <w:color w:val="000000"/>
                <w:vertAlign w:val="superscript"/>
              </w:rPr>
              <w:t>nd</w:t>
            </w:r>
            <w:r w:rsidRPr="00680BBA">
              <w:rPr>
                <w:rFonts w:ascii="Calibri" w:eastAsia="Times New Roman" w:hAnsi="Calibri" w:cs="Times New Roman"/>
                <w:b/>
                <w:bCs/>
                <w:color w:val="000000"/>
              </w:rPr>
              <w:t xml:space="preserve"> QTR SFY 2015 </w:t>
            </w:r>
          </w:p>
        </w:tc>
      </w:tr>
      <w:tr w:rsidR="006F495F" w:rsidRPr="00680BBA" w14:paraId="360CCA44" w14:textId="77777777" w:rsidTr="00EE1DCA">
        <w:trPr>
          <w:trHeight w:val="649"/>
        </w:trPr>
        <w:tc>
          <w:tcPr>
            <w:tcW w:w="1180" w:type="dxa"/>
            <w:tcBorders>
              <w:top w:val="nil"/>
              <w:left w:val="single" w:sz="8" w:space="0" w:color="auto"/>
              <w:bottom w:val="single" w:sz="4" w:space="0" w:color="auto"/>
              <w:right w:val="single" w:sz="8" w:space="0" w:color="auto"/>
            </w:tcBorders>
            <w:shd w:val="clear" w:color="auto" w:fill="auto"/>
            <w:vAlign w:val="center"/>
            <w:hideMark/>
          </w:tcPr>
          <w:p w14:paraId="52E50011" w14:textId="77777777"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1 to 2</w:t>
            </w:r>
          </w:p>
        </w:tc>
        <w:tc>
          <w:tcPr>
            <w:tcW w:w="900" w:type="dxa"/>
            <w:tcBorders>
              <w:top w:val="nil"/>
              <w:left w:val="nil"/>
              <w:bottom w:val="single" w:sz="4" w:space="0" w:color="auto"/>
              <w:right w:val="single" w:sz="4" w:space="0" w:color="auto"/>
            </w:tcBorders>
            <w:shd w:val="clear" w:color="auto" w:fill="auto"/>
            <w:vAlign w:val="center"/>
            <w:hideMark/>
          </w:tcPr>
          <w:p w14:paraId="36407CCB" w14:textId="77777777"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52%</w:t>
            </w:r>
          </w:p>
        </w:tc>
        <w:tc>
          <w:tcPr>
            <w:tcW w:w="900" w:type="dxa"/>
            <w:tcBorders>
              <w:top w:val="nil"/>
              <w:left w:val="nil"/>
              <w:bottom w:val="single" w:sz="4" w:space="0" w:color="auto"/>
              <w:right w:val="single" w:sz="4" w:space="0" w:color="auto"/>
            </w:tcBorders>
            <w:shd w:val="clear" w:color="auto" w:fill="auto"/>
            <w:vAlign w:val="center"/>
            <w:hideMark/>
          </w:tcPr>
          <w:p w14:paraId="630051CF" w14:textId="77777777"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54%</w:t>
            </w:r>
          </w:p>
        </w:tc>
        <w:tc>
          <w:tcPr>
            <w:tcW w:w="900" w:type="dxa"/>
            <w:tcBorders>
              <w:top w:val="nil"/>
              <w:left w:val="nil"/>
              <w:bottom w:val="single" w:sz="4" w:space="0" w:color="auto"/>
              <w:right w:val="single" w:sz="4" w:space="0" w:color="auto"/>
            </w:tcBorders>
            <w:shd w:val="clear" w:color="auto" w:fill="auto"/>
            <w:vAlign w:val="center"/>
            <w:hideMark/>
          </w:tcPr>
          <w:p w14:paraId="1E4F58C7" w14:textId="77777777"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53%</w:t>
            </w:r>
          </w:p>
        </w:tc>
        <w:tc>
          <w:tcPr>
            <w:tcW w:w="900" w:type="dxa"/>
            <w:tcBorders>
              <w:top w:val="nil"/>
              <w:left w:val="nil"/>
              <w:bottom w:val="single" w:sz="4" w:space="0" w:color="auto"/>
              <w:right w:val="single" w:sz="4" w:space="0" w:color="auto"/>
            </w:tcBorders>
            <w:shd w:val="clear" w:color="auto" w:fill="auto"/>
            <w:vAlign w:val="center"/>
            <w:hideMark/>
          </w:tcPr>
          <w:p w14:paraId="650D9751" w14:textId="261B9B02" w:rsidR="006F495F" w:rsidRPr="00680BBA" w:rsidRDefault="006F495F" w:rsidP="00EE1DCA">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8" w:space="0" w:color="auto"/>
            </w:tcBorders>
            <w:shd w:val="clear" w:color="auto" w:fill="auto"/>
            <w:vAlign w:val="center"/>
            <w:hideMark/>
          </w:tcPr>
          <w:p w14:paraId="5572F423" w14:textId="24283913"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 </w:t>
            </w:r>
            <w:r w:rsidR="00DF4F85">
              <w:rPr>
                <w:rFonts w:ascii="Calibri" w:eastAsia="Times New Roman" w:hAnsi="Calibri" w:cs="Times New Roman"/>
                <w:color w:val="000000"/>
              </w:rPr>
              <w:t>56%</w:t>
            </w:r>
          </w:p>
        </w:tc>
      </w:tr>
      <w:tr w:rsidR="006F495F" w:rsidRPr="00680BBA" w14:paraId="67AC642F" w14:textId="77777777" w:rsidTr="00EE1DCA">
        <w:trPr>
          <w:trHeight w:val="649"/>
        </w:trPr>
        <w:tc>
          <w:tcPr>
            <w:tcW w:w="1180" w:type="dxa"/>
            <w:tcBorders>
              <w:top w:val="nil"/>
              <w:left w:val="single" w:sz="8" w:space="0" w:color="auto"/>
              <w:bottom w:val="single" w:sz="4" w:space="0" w:color="auto"/>
              <w:right w:val="single" w:sz="8" w:space="0" w:color="auto"/>
            </w:tcBorders>
            <w:shd w:val="clear" w:color="auto" w:fill="auto"/>
            <w:vAlign w:val="center"/>
            <w:hideMark/>
          </w:tcPr>
          <w:p w14:paraId="23B86D98" w14:textId="77777777"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3 to 6</w:t>
            </w:r>
          </w:p>
        </w:tc>
        <w:tc>
          <w:tcPr>
            <w:tcW w:w="900" w:type="dxa"/>
            <w:tcBorders>
              <w:top w:val="nil"/>
              <w:left w:val="nil"/>
              <w:bottom w:val="single" w:sz="4" w:space="0" w:color="auto"/>
              <w:right w:val="single" w:sz="4" w:space="0" w:color="auto"/>
            </w:tcBorders>
            <w:shd w:val="clear" w:color="auto" w:fill="auto"/>
            <w:vAlign w:val="center"/>
            <w:hideMark/>
          </w:tcPr>
          <w:p w14:paraId="7551205B" w14:textId="77777777"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33%</w:t>
            </w:r>
          </w:p>
        </w:tc>
        <w:tc>
          <w:tcPr>
            <w:tcW w:w="900" w:type="dxa"/>
            <w:tcBorders>
              <w:top w:val="nil"/>
              <w:left w:val="nil"/>
              <w:bottom w:val="single" w:sz="4" w:space="0" w:color="auto"/>
              <w:right w:val="single" w:sz="4" w:space="0" w:color="auto"/>
            </w:tcBorders>
            <w:shd w:val="clear" w:color="auto" w:fill="auto"/>
            <w:vAlign w:val="center"/>
            <w:hideMark/>
          </w:tcPr>
          <w:p w14:paraId="44532F7B" w14:textId="77777777"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32%</w:t>
            </w:r>
          </w:p>
        </w:tc>
        <w:tc>
          <w:tcPr>
            <w:tcW w:w="900" w:type="dxa"/>
            <w:tcBorders>
              <w:top w:val="nil"/>
              <w:left w:val="nil"/>
              <w:bottom w:val="single" w:sz="4" w:space="0" w:color="auto"/>
              <w:right w:val="single" w:sz="4" w:space="0" w:color="auto"/>
            </w:tcBorders>
            <w:shd w:val="clear" w:color="auto" w:fill="auto"/>
            <w:vAlign w:val="center"/>
            <w:hideMark/>
          </w:tcPr>
          <w:p w14:paraId="4651553B" w14:textId="77777777"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32%</w:t>
            </w:r>
          </w:p>
        </w:tc>
        <w:tc>
          <w:tcPr>
            <w:tcW w:w="900" w:type="dxa"/>
            <w:tcBorders>
              <w:top w:val="nil"/>
              <w:left w:val="nil"/>
              <w:bottom w:val="single" w:sz="4" w:space="0" w:color="auto"/>
              <w:right w:val="single" w:sz="4" w:space="0" w:color="auto"/>
            </w:tcBorders>
            <w:shd w:val="clear" w:color="auto" w:fill="auto"/>
            <w:vAlign w:val="center"/>
            <w:hideMark/>
          </w:tcPr>
          <w:p w14:paraId="393F8037" w14:textId="77777777"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 </w:t>
            </w:r>
          </w:p>
        </w:tc>
        <w:tc>
          <w:tcPr>
            <w:tcW w:w="900" w:type="dxa"/>
            <w:tcBorders>
              <w:top w:val="nil"/>
              <w:left w:val="nil"/>
              <w:bottom w:val="single" w:sz="4" w:space="0" w:color="auto"/>
              <w:right w:val="single" w:sz="8" w:space="0" w:color="auto"/>
            </w:tcBorders>
            <w:shd w:val="clear" w:color="auto" w:fill="auto"/>
            <w:vAlign w:val="center"/>
            <w:hideMark/>
          </w:tcPr>
          <w:p w14:paraId="54269845" w14:textId="36224E91" w:rsidR="006F495F" w:rsidRPr="00680BBA" w:rsidRDefault="00DF4F85" w:rsidP="00EE1DC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w:t>
            </w:r>
            <w:r w:rsidR="006F495F" w:rsidRPr="00680BBA">
              <w:rPr>
                <w:rFonts w:ascii="Calibri" w:eastAsia="Times New Roman" w:hAnsi="Calibri" w:cs="Times New Roman"/>
                <w:color w:val="000000"/>
              </w:rPr>
              <w:t> </w:t>
            </w:r>
          </w:p>
        </w:tc>
      </w:tr>
      <w:tr w:rsidR="006F495F" w:rsidRPr="00680BBA" w14:paraId="3298D248" w14:textId="77777777" w:rsidTr="00EE1DCA">
        <w:trPr>
          <w:trHeight w:val="649"/>
        </w:trPr>
        <w:tc>
          <w:tcPr>
            <w:tcW w:w="1180" w:type="dxa"/>
            <w:tcBorders>
              <w:top w:val="nil"/>
              <w:left w:val="single" w:sz="8" w:space="0" w:color="auto"/>
              <w:bottom w:val="single" w:sz="4" w:space="0" w:color="auto"/>
              <w:right w:val="single" w:sz="8" w:space="0" w:color="auto"/>
            </w:tcBorders>
            <w:shd w:val="clear" w:color="auto" w:fill="auto"/>
            <w:vAlign w:val="center"/>
            <w:hideMark/>
          </w:tcPr>
          <w:p w14:paraId="5B8C4619" w14:textId="77777777"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7 to 9</w:t>
            </w:r>
          </w:p>
        </w:tc>
        <w:tc>
          <w:tcPr>
            <w:tcW w:w="900" w:type="dxa"/>
            <w:tcBorders>
              <w:top w:val="nil"/>
              <w:left w:val="nil"/>
              <w:bottom w:val="single" w:sz="4" w:space="0" w:color="auto"/>
              <w:right w:val="single" w:sz="4" w:space="0" w:color="auto"/>
            </w:tcBorders>
            <w:shd w:val="clear" w:color="auto" w:fill="auto"/>
            <w:vAlign w:val="center"/>
            <w:hideMark/>
          </w:tcPr>
          <w:p w14:paraId="2F6A23EB" w14:textId="77777777"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6%</w:t>
            </w:r>
          </w:p>
        </w:tc>
        <w:tc>
          <w:tcPr>
            <w:tcW w:w="900" w:type="dxa"/>
            <w:tcBorders>
              <w:top w:val="nil"/>
              <w:left w:val="nil"/>
              <w:bottom w:val="single" w:sz="4" w:space="0" w:color="auto"/>
              <w:right w:val="single" w:sz="4" w:space="0" w:color="auto"/>
            </w:tcBorders>
            <w:shd w:val="clear" w:color="auto" w:fill="auto"/>
            <w:vAlign w:val="center"/>
            <w:hideMark/>
          </w:tcPr>
          <w:p w14:paraId="15F0CB5C" w14:textId="77777777"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6%</w:t>
            </w:r>
          </w:p>
        </w:tc>
        <w:tc>
          <w:tcPr>
            <w:tcW w:w="900" w:type="dxa"/>
            <w:tcBorders>
              <w:top w:val="nil"/>
              <w:left w:val="nil"/>
              <w:bottom w:val="single" w:sz="4" w:space="0" w:color="auto"/>
              <w:right w:val="single" w:sz="4" w:space="0" w:color="auto"/>
            </w:tcBorders>
            <w:shd w:val="clear" w:color="auto" w:fill="auto"/>
            <w:vAlign w:val="center"/>
            <w:hideMark/>
          </w:tcPr>
          <w:p w14:paraId="51B64BDB" w14:textId="77777777"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7%</w:t>
            </w:r>
          </w:p>
        </w:tc>
        <w:tc>
          <w:tcPr>
            <w:tcW w:w="900" w:type="dxa"/>
            <w:tcBorders>
              <w:top w:val="nil"/>
              <w:left w:val="nil"/>
              <w:bottom w:val="single" w:sz="4" w:space="0" w:color="auto"/>
              <w:right w:val="single" w:sz="4" w:space="0" w:color="auto"/>
            </w:tcBorders>
            <w:shd w:val="clear" w:color="auto" w:fill="auto"/>
            <w:vAlign w:val="center"/>
            <w:hideMark/>
          </w:tcPr>
          <w:p w14:paraId="5988FCAE" w14:textId="77777777"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 </w:t>
            </w:r>
          </w:p>
        </w:tc>
        <w:tc>
          <w:tcPr>
            <w:tcW w:w="900" w:type="dxa"/>
            <w:tcBorders>
              <w:top w:val="nil"/>
              <w:left w:val="nil"/>
              <w:bottom w:val="single" w:sz="4" w:space="0" w:color="auto"/>
              <w:right w:val="single" w:sz="8" w:space="0" w:color="auto"/>
            </w:tcBorders>
            <w:shd w:val="clear" w:color="auto" w:fill="auto"/>
            <w:vAlign w:val="center"/>
            <w:hideMark/>
          </w:tcPr>
          <w:p w14:paraId="77527D2B" w14:textId="5D2CE126" w:rsidR="006F495F" w:rsidRPr="00680BBA" w:rsidRDefault="00DF4F85" w:rsidP="00EE1DC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6F495F" w:rsidRPr="00680BBA">
              <w:rPr>
                <w:rFonts w:ascii="Calibri" w:eastAsia="Times New Roman" w:hAnsi="Calibri" w:cs="Times New Roman"/>
                <w:color w:val="000000"/>
              </w:rPr>
              <w:t> </w:t>
            </w:r>
          </w:p>
        </w:tc>
      </w:tr>
      <w:tr w:rsidR="006F495F" w:rsidRPr="00680BBA" w14:paraId="4B27D06B" w14:textId="77777777" w:rsidTr="00EE1DCA">
        <w:trPr>
          <w:trHeight w:val="649"/>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2BC7F125" w14:textId="77777777"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10 or more</w:t>
            </w:r>
          </w:p>
        </w:tc>
        <w:tc>
          <w:tcPr>
            <w:tcW w:w="900" w:type="dxa"/>
            <w:tcBorders>
              <w:top w:val="nil"/>
              <w:left w:val="nil"/>
              <w:bottom w:val="single" w:sz="8" w:space="0" w:color="auto"/>
              <w:right w:val="single" w:sz="4" w:space="0" w:color="auto"/>
            </w:tcBorders>
            <w:shd w:val="clear" w:color="auto" w:fill="auto"/>
            <w:vAlign w:val="center"/>
            <w:hideMark/>
          </w:tcPr>
          <w:p w14:paraId="307ADBE1" w14:textId="77777777"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9%</w:t>
            </w:r>
          </w:p>
        </w:tc>
        <w:tc>
          <w:tcPr>
            <w:tcW w:w="900" w:type="dxa"/>
            <w:tcBorders>
              <w:top w:val="nil"/>
              <w:left w:val="nil"/>
              <w:bottom w:val="single" w:sz="8" w:space="0" w:color="auto"/>
              <w:right w:val="single" w:sz="4" w:space="0" w:color="auto"/>
            </w:tcBorders>
            <w:shd w:val="clear" w:color="auto" w:fill="auto"/>
            <w:vAlign w:val="center"/>
            <w:hideMark/>
          </w:tcPr>
          <w:p w14:paraId="74520C7E" w14:textId="77777777"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8%</w:t>
            </w:r>
          </w:p>
        </w:tc>
        <w:tc>
          <w:tcPr>
            <w:tcW w:w="900" w:type="dxa"/>
            <w:tcBorders>
              <w:top w:val="nil"/>
              <w:left w:val="nil"/>
              <w:bottom w:val="single" w:sz="8" w:space="0" w:color="auto"/>
              <w:right w:val="single" w:sz="4" w:space="0" w:color="auto"/>
            </w:tcBorders>
            <w:shd w:val="clear" w:color="auto" w:fill="auto"/>
            <w:vAlign w:val="center"/>
            <w:hideMark/>
          </w:tcPr>
          <w:p w14:paraId="0AB6421A" w14:textId="77777777"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8%</w:t>
            </w:r>
          </w:p>
        </w:tc>
        <w:tc>
          <w:tcPr>
            <w:tcW w:w="900" w:type="dxa"/>
            <w:tcBorders>
              <w:top w:val="nil"/>
              <w:left w:val="nil"/>
              <w:bottom w:val="single" w:sz="8" w:space="0" w:color="auto"/>
              <w:right w:val="single" w:sz="4" w:space="0" w:color="auto"/>
            </w:tcBorders>
            <w:shd w:val="clear" w:color="auto" w:fill="auto"/>
            <w:vAlign w:val="center"/>
            <w:hideMark/>
          </w:tcPr>
          <w:p w14:paraId="0D128A88" w14:textId="77777777"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 </w:t>
            </w:r>
          </w:p>
        </w:tc>
        <w:tc>
          <w:tcPr>
            <w:tcW w:w="900" w:type="dxa"/>
            <w:tcBorders>
              <w:top w:val="nil"/>
              <w:left w:val="nil"/>
              <w:bottom w:val="single" w:sz="8" w:space="0" w:color="auto"/>
              <w:right w:val="single" w:sz="8" w:space="0" w:color="auto"/>
            </w:tcBorders>
            <w:shd w:val="clear" w:color="auto" w:fill="auto"/>
            <w:vAlign w:val="center"/>
            <w:hideMark/>
          </w:tcPr>
          <w:p w14:paraId="1B5947E5" w14:textId="1DC64BCB"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 </w:t>
            </w:r>
            <w:r w:rsidR="00DF4F85">
              <w:rPr>
                <w:rFonts w:ascii="Calibri" w:eastAsia="Times New Roman" w:hAnsi="Calibri" w:cs="Times New Roman"/>
                <w:color w:val="000000"/>
              </w:rPr>
              <w:t>7%</w:t>
            </w:r>
          </w:p>
        </w:tc>
      </w:tr>
    </w:tbl>
    <w:p w14:paraId="51736380" w14:textId="77777777" w:rsidR="006F495F" w:rsidRDefault="006F495F" w:rsidP="006F495F">
      <w:pPr>
        <w:pStyle w:val="NoSpacing"/>
        <w:rPr>
          <w:sz w:val="24"/>
          <w:szCs w:val="24"/>
        </w:rPr>
      </w:pPr>
    </w:p>
    <w:p w14:paraId="52BCFC0B" w14:textId="77777777" w:rsidR="006F495F" w:rsidRDefault="006F495F" w:rsidP="006F495F">
      <w:pPr>
        <w:pStyle w:val="NoSpacing"/>
        <w:rPr>
          <w:sz w:val="24"/>
          <w:szCs w:val="24"/>
        </w:rPr>
      </w:pPr>
    </w:p>
    <w:tbl>
      <w:tblPr>
        <w:tblW w:w="6400" w:type="dxa"/>
        <w:tblInd w:w="93" w:type="dxa"/>
        <w:tblLook w:val="04A0" w:firstRow="1" w:lastRow="0" w:firstColumn="1" w:lastColumn="0" w:noHBand="0" w:noVBand="1"/>
      </w:tblPr>
      <w:tblGrid>
        <w:gridCol w:w="2454"/>
        <w:gridCol w:w="790"/>
        <w:gridCol w:w="789"/>
        <w:gridCol w:w="789"/>
        <w:gridCol w:w="789"/>
        <w:gridCol w:w="789"/>
      </w:tblGrid>
      <w:tr w:rsidR="006F495F" w:rsidRPr="00680BBA" w14:paraId="158B0FFF" w14:textId="77777777" w:rsidTr="00EE1DCA">
        <w:trPr>
          <w:trHeight w:val="330"/>
        </w:trPr>
        <w:tc>
          <w:tcPr>
            <w:tcW w:w="6400" w:type="dxa"/>
            <w:gridSpan w:val="6"/>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371E03F8" w14:textId="77777777" w:rsidR="006F495F" w:rsidRPr="00680BBA" w:rsidRDefault="006F495F" w:rsidP="00EE1DCA">
            <w:pPr>
              <w:spacing w:after="0" w:line="240" w:lineRule="auto"/>
              <w:jc w:val="center"/>
              <w:rPr>
                <w:rFonts w:ascii="Calibri" w:eastAsia="Times New Roman" w:hAnsi="Calibri" w:cs="Times New Roman"/>
                <w:b/>
                <w:bCs/>
                <w:color w:val="FFFFFF"/>
                <w:sz w:val="24"/>
                <w:szCs w:val="24"/>
              </w:rPr>
            </w:pPr>
            <w:r w:rsidRPr="00680BBA">
              <w:rPr>
                <w:rFonts w:ascii="Calibri" w:eastAsia="Times New Roman" w:hAnsi="Calibri" w:cs="Times New Roman"/>
                <w:b/>
                <w:bCs/>
                <w:color w:val="FFFFFF"/>
                <w:sz w:val="24"/>
                <w:szCs w:val="24"/>
              </w:rPr>
              <w:t>Placement Stability</w:t>
            </w:r>
          </w:p>
        </w:tc>
      </w:tr>
      <w:tr w:rsidR="006F495F" w:rsidRPr="00680BBA" w14:paraId="697EEF20" w14:textId="77777777" w:rsidTr="00EE1DCA">
        <w:trPr>
          <w:trHeight w:val="315"/>
        </w:trPr>
        <w:tc>
          <w:tcPr>
            <w:tcW w:w="2454" w:type="dxa"/>
            <w:tcBorders>
              <w:top w:val="nil"/>
              <w:left w:val="single" w:sz="8" w:space="0" w:color="auto"/>
              <w:bottom w:val="single" w:sz="8" w:space="0" w:color="auto"/>
              <w:right w:val="single" w:sz="4" w:space="0" w:color="auto"/>
            </w:tcBorders>
            <w:shd w:val="clear" w:color="000000" w:fill="F2F2F2"/>
            <w:noWrap/>
            <w:vAlign w:val="bottom"/>
            <w:hideMark/>
          </w:tcPr>
          <w:p w14:paraId="12F16761" w14:textId="77777777" w:rsidR="006F495F" w:rsidRPr="00680BBA" w:rsidRDefault="006F495F" w:rsidP="00EE1DCA">
            <w:pPr>
              <w:spacing w:after="0" w:line="240" w:lineRule="auto"/>
              <w:rPr>
                <w:rFonts w:ascii="Calibri" w:eastAsia="Times New Roman" w:hAnsi="Calibri" w:cs="Times New Roman"/>
                <w:b/>
                <w:bCs/>
                <w:color w:val="000000"/>
              </w:rPr>
            </w:pPr>
            <w:r w:rsidRPr="00680BBA">
              <w:rPr>
                <w:rFonts w:ascii="Calibri" w:eastAsia="Times New Roman" w:hAnsi="Calibri" w:cs="Times New Roman"/>
                <w:b/>
                <w:bCs/>
                <w:color w:val="000000"/>
              </w:rPr>
              <w:t># of Placements</w:t>
            </w:r>
          </w:p>
        </w:tc>
        <w:tc>
          <w:tcPr>
            <w:tcW w:w="790" w:type="dxa"/>
            <w:tcBorders>
              <w:top w:val="nil"/>
              <w:left w:val="nil"/>
              <w:bottom w:val="single" w:sz="8" w:space="0" w:color="auto"/>
              <w:right w:val="single" w:sz="4" w:space="0" w:color="auto"/>
            </w:tcBorders>
            <w:shd w:val="clear" w:color="000000" w:fill="F2F2F2"/>
            <w:noWrap/>
            <w:vAlign w:val="bottom"/>
            <w:hideMark/>
          </w:tcPr>
          <w:p w14:paraId="5217C17D" w14:textId="77777777" w:rsidR="006F495F" w:rsidRPr="00680BBA" w:rsidRDefault="006F495F" w:rsidP="00EE1DCA">
            <w:pPr>
              <w:spacing w:after="0" w:line="240" w:lineRule="auto"/>
              <w:jc w:val="center"/>
              <w:rPr>
                <w:rFonts w:ascii="Calibri" w:eastAsia="Times New Roman" w:hAnsi="Calibri" w:cs="Times New Roman"/>
                <w:b/>
                <w:bCs/>
                <w:color w:val="000000"/>
              </w:rPr>
            </w:pPr>
            <w:r w:rsidRPr="00680BBA">
              <w:rPr>
                <w:rFonts w:ascii="Calibri" w:eastAsia="Times New Roman" w:hAnsi="Calibri" w:cs="Times New Roman"/>
                <w:b/>
                <w:bCs/>
                <w:color w:val="000000"/>
              </w:rPr>
              <w:t>2011</w:t>
            </w:r>
          </w:p>
        </w:tc>
        <w:tc>
          <w:tcPr>
            <w:tcW w:w="789" w:type="dxa"/>
            <w:tcBorders>
              <w:top w:val="nil"/>
              <w:left w:val="nil"/>
              <w:bottom w:val="single" w:sz="8" w:space="0" w:color="auto"/>
              <w:right w:val="single" w:sz="4" w:space="0" w:color="auto"/>
            </w:tcBorders>
            <w:shd w:val="clear" w:color="000000" w:fill="F2F2F2"/>
            <w:noWrap/>
            <w:vAlign w:val="bottom"/>
            <w:hideMark/>
          </w:tcPr>
          <w:p w14:paraId="7466BCA9" w14:textId="77777777" w:rsidR="006F495F" w:rsidRPr="00680BBA" w:rsidRDefault="006F495F" w:rsidP="00EE1DCA">
            <w:pPr>
              <w:spacing w:after="0" w:line="240" w:lineRule="auto"/>
              <w:jc w:val="center"/>
              <w:rPr>
                <w:rFonts w:ascii="Calibri" w:eastAsia="Times New Roman" w:hAnsi="Calibri" w:cs="Times New Roman"/>
                <w:b/>
                <w:bCs/>
                <w:color w:val="000000"/>
              </w:rPr>
            </w:pPr>
            <w:r w:rsidRPr="00680BBA">
              <w:rPr>
                <w:rFonts w:ascii="Calibri" w:eastAsia="Times New Roman" w:hAnsi="Calibri" w:cs="Times New Roman"/>
                <w:b/>
                <w:bCs/>
                <w:color w:val="000000"/>
              </w:rPr>
              <w:t>2012</w:t>
            </w:r>
          </w:p>
        </w:tc>
        <w:tc>
          <w:tcPr>
            <w:tcW w:w="789" w:type="dxa"/>
            <w:tcBorders>
              <w:top w:val="nil"/>
              <w:left w:val="nil"/>
              <w:bottom w:val="single" w:sz="8" w:space="0" w:color="auto"/>
              <w:right w:val="single" w:sz="4" w:space="0" w:color="auto"/>
            </w:tcBorders>
            <w:shd w:val="clear" w:color="000000" w:fill="F2F2F2"/>
            <w:noWrap/>
            <w:vAlign w:val="bottom"/>
            <w:hideMark/>
          </w:tcPr>
          <w:p w14:paraId="2460A0F3" w14:textId="77777777" w:rsidR="006F495F" w:rsidRPr="00680BBA" w:rsidRDefault="006F495F" w:rsidP="00EE1DCA">
            <w:pPr>
              <w:spacing w:after="0" w:line="240" w:lineRule="auto"/>
              <w:jc w:val="center"/>
              <w:rPr>
                <w:rFonts w:ascii="Calibri" w:eastAsia="Times New Roman" w:hAnsi="Calibri" w:cs="Times New Roman"/>
                <w:b/>
                <w:bCs/>
                <w:color w:val="000000"/>
              </w:rPr>
            </w:pPr>
            <w:r w:rsidRPr="00680BBA">
              <w:rPr>
                <w:rFonts w:ascii="Calibri" w:eastAsia="Times New Roman" w:hAnsi="Calibri" w:cs="Times New Roman"/>
                <w:b/>
                <w:bCs/>
                <w:color w:val="000000"/>
              </w:rPr>
              <w:t>2013</w:t>
            </w:r>
          </w:p>
        </w:tc>
        <w:tc>
          <w:tcPr>
            <w:tcW w:w="789" w:type="dxa"/>
            <w:tcBorders>
              <w:top w:val="nil"/>
              <w:left w:val="nil"/>
              <w:bottom w:val="single" w:sz="8" w:space="0" w:color="auto"/>
              <w:right w:val="single" w:sz="4" w:space="0" w:color="auto"/>
            </w:tcBorders>
            <w:shd w:val="clear" w:color="000000" w:fill="F2F2F2"/>
            <w:noWrap/>
            <w:vAlign w:val="bottom"/>
            <w:hideMark/>
          </w:tcPr>
          <w:p w14:paraId="2A0B4001" w14:textId="77777777" w:rsidR="006F495F" w:rsidRPr="00680BBA" w:rsidRDefault="006F495F" w:rsidP="00EE1DCA">
            <w:pPr>
              <w:spacing w:after="0" w:line="240" w:lineRule="auto"/>
              <w:jc w:val="center"/>
              <w:rPr>
                <w:rFonts w:ascii="Calibri" w:eastAsia="Times New Roman" w:hAnsi="Calibri" w:cs="Times New Roman"/>
                <w:b/>
                <w:bCs/>
                <w:color w:val="000000"/>
              </w:rPr>
            </w:pPr>
            <w:r w:rsidRPr="00680BBA">
              <w:rPr>
                <w:rFonts w:ascii="Calibri" w:eastAsia="Times New Roman" w:hAnsi="Calibri" w:cs="Times New Roman"/>
                <w:b/>
                <w:bCs/>
                <w:color w:val="000000"/>
              </w:rPr>
              <w:t>2014</w:t>
            </w:r>
          </w:p>
        </w:tc>
        <w:tc>
          <w:tcPr>
            <w:tcW w:w="789" w:type="dxa"/>
            <w:tcBorders>
              <w:top w:val="nil"/>
              <w:left w:val="nil"/>
              <w:bottom w:val="single" w:sz="8" w:space="0" w:color="auto"/>
              <w:right w:val="single" w:sz="8" w:space="0" w:color="auto"/>
            </w:tcBorders>
            <w:shd w:val="clear" w:color="000000" w:fill="F2F2F2"/>
            <w:noWrap/>
            <w:vAlign w:val="bottom"/>
            <w:hideMark/>
          </w:tcPr>
          <w:p w14:paraId="0CA322E9" w14:textId="77777777" w:rsidR="006F495F" w:rsidRPr="00680BBA" w:rsidRDefault="006F495F" w:rsidP="00EE1DCA">
            <w:pPr>
              <w:spacing w:after="0" w:line="240" w:lineRule="auto"/>
              <w:jc w:val="center"/>
              <w:rPr>
                <w:rFonts w:ascii="Calibri" w:eastAsia="Times New Roman" w:hAnsi="Calibri" w:cs="Times New Roman"/>
                <w:b/>
                <w:bCs/>
                <w:color w:val="000000"/>
              </w:rPr>
            </w:pPr>
            <w:r w:rsidRPr="00680BBA">
              <w:rPr>
                <w:rFonts w:ascii="Calibri" w:eastAsia="Times New Roman" w:hAnsi="Calibri" w:cs="Times New Roman"/>
                <w:b/>
                <w:bCs/>
                <w:color w:val="000000"/>
              </w:rPr>
              <w:t>2015</w:t>
            </w:r>
          </w:p>
        </w:tc>
      </w:tr>
      <w:tr w:rsidR="006F495F" w:rsidRPr="00680BBA" w14:paraId="08CAD665" w14:textId="77777777" w:rsidTr="00EE1DCA">
        <w:trPr>
          <w:trHeight w:val="300"/>
        </w:trPr>
        <w:tc>
          <w:tcPr>
            <w:tcW w:w="2454" w:type="dxa"/>
            <w:tcBorders>
              <w:top w:val="nil"/>
              <w:left w:val="single" w:sz="8" w:space="0" w:color="auto"/>
              <w:bottom w:val="single" w:sz="4" w:space="0" w:color="auto"/>
              <w:right w:val="single" w:sz="8" w:space="0" w:color="auto"/>
            </w:tcBorders>
            <w:shd w:val="clear" w:color="auto" w:fill="auto"/>
            <w:noWrap/>
            <w:vAlign w:val="bottom"/>
            <w:hideMark/>
          </w:tcPr>
          <w:p w14:paraId="45A89E74" w14:textId="77777777" w:rsidR="006F495F" w:rsidRPr="00680BBA" w:rsidRDefault="006F495F" w:rsidP="00EE1DCA">
            <w:pPr>
              <w:spacing w:after="0" w:line="240" w:lineRule="auto"/>
              <w:rPr>
                <w:rFonts w:ascii="Calibri" w:eastAsia="Times New Roman" w:hAnsi="Calibri" w:cs="Times New Roman"/>
                <w:color w:val="000000"/>
              </w:rPr>
            </w:pPr>
            <w:r w:rsidRPr="00680BBA">
              <w:rPr>
                <w:rFonts w:ascii="Calibri" w:eastAsia="Times New Roman" w:hAnsi="Calibri" w:cs="Times New Roman"/>
                <w:color w:val="000000"/>
              </w:rPr>
              <w:t>2 or Fewer</w:t>
            </w:r>
          </w:p>
        </w:tc>
        <w:tc>
          <w:tcPr>
            <w:tcW w:w="790" w:type="dxa"/>
            <w:tcBorders>
              <w:top w:val="nil"/>
              <w:left w:val="nil"/>
              <w:bottom w:val="single" w:sz="4" w:space="0" w:color="auto"/>
              <w:right w:val="single" w:sz="4" w:space="0" w:color="auto"/>
            </w:tcBorders>
            <w:shd w:val="clear" w:color="auto" w:fill="auto"/>
            <w:noWrap/>
            <w:vAlign w:val="bottom"/>
            <w:hideMark/>
          </w:tcPr>
          <w:p w14:paraId="70D39D55" w14:textId="77777777"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0.52</w:t>
            </w:r>
          </w:p>
        </w:tc>
        <w:tc>
          <w:tcPr>
            <w:tcW w:w="789" w:type="dxa"/>
            <w:tcBorders>
              <w:top w:val="nil"/>
              <w:left w:val="nil"/>
              <w:bottom w:val="single" w:sz="4" w:space="0" w:color="auto"/>
              <w:right w:val="single" w:sz="4" w:space="0" w:color="auto"/>
            </w:tcBorders>
            <w:shd w:val="clear" w:color="auto" w:fill="auto"/>
            <w:noWrap/>
            <w:vAlign w:val="bottom"/>
            <w:hideMark/>
          </w:tcPr>
          <w:p w14:paraId="0147B3E1" w14:textId="77777777"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0.54</w:t>
            </w:r>
          </w:p>
        </w:tc>
        <w:tc>
          <w:tcPr>
            <w:tcW w:w="789" w:type="dxa"/>
            <w:tcBorders>
              <w:top w:val="nil"/>
              <w:left w:val="nil"/>
              <w:bottom w:val="single" w:sz="4" w:space="0" w:color="auto"/>
              <w:right w:val="single" w:sz="4" w:space="0" w:color="auto"/>
            </w:tcBorders>
            <w:shd w:val="clear" w:color="auto" w:fill="auto"/>
            <w:noWrap/>
            <w:vAlign w:val="bottom"/>
            <w:hideMark/>
          </w:tcPr>
          <w:p w14:paraId="36CC64BA" w14:textId="77777777"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0.53</w:t>
            </w:r>
          </w:p>
        </w:tc>
        <w:tc>
          <w:tcPr>
            <w:tcW w:w="789" w:type="dxa"/>
            <w:tcBorders>
              <w:top w:val="nil"/>
              <w:left w:val="nil"/>
              <w:bottom w:val="single" w:sz="4" w:space="0" w:color="auto"/>
              <w:right w:val="single" w:sz="4" w:space="0" w:color="auto"/>
            </w:tcBorders>
            <w:shd w:val="clear" w:color="auto" w:fill="auto"/>
            <w:noWrap/>
            <w:vAlign w:val="bottom"/>
            <w:hideMark/>
          </w:tcPr>
          <w:p w14:paraId="5A4110EE" w14:textId="77777777"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 </w:t>
            </w:r>
          </w:p>
        </w:tc>
        <w:tc>
          <w:tcPr>
            <w:tcW w:w="789" w:type="dxa"/>
            <w:tcBorders>
              <w:top w:val="nil"/>
              <w:left w:val="nil"/>
              <w:bottom w:val="single" w:sz="4" w:space="0" w:color="auto"/>
              <w:right w:val="single" w:sz="8" w:space="0" w:color="auto"/>
            </w:tcBorders>
            <w:shd w:val="clear" w:color="auto" w:fill="auto"/>
            <w:noWrap/>
            <w:vAlign w:val="bottom"/>
            <w:hideMark/>
          </w:tcPr>
          <w:p w14:paraId="0D336C35" w14:textId="7A51B756" w:rsidR="006F495F" w:rsidRPr="00680BBA" w:rsidRDefault="00DF4F85" w:rsidP="00EE1DC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0.56</w:t>
            </w:r>
          </w:p>
        </w:tc>
      </w:tr>
      <w:tr w:rsidR="006F495F" w:rsidRPr="00680BBA" w14:paraId="07FB1A5C" w14:textId="77777777" w:rsidTr="00EE1DCA">
        <w:trPr>
          <w:trHeight w:val="315"/>
        </w:trPr>
        <w:tc>
          <w:tcPr>
            <w:tcW w:w="2454" w:type="dxa"/>
            <w:tcBorders>
              <w:top w:val="nil"/>
              <w:left w:val="single" w:sz="8" w:space="0" w:color="auto"/>
              <w:bottom w:val="single" w:sz="8" w:space="0" w:color="auto"/>
              <w:right w:val="single" w:sz="8" w:space="0" w:color="auto"/>
            </w:tcBorders>
            <w:shd w:val="clear" w:color="auto" w:fill="auto"/>
            <w:noWrap/>
            <w:vAlign w:val="bottom"/>
            <w:hideMark/>
          </w:tcPr>
          <w:p w14:paraId="688F8973" w14:textId="77777777" w:rsidR="006F495F" w:rsidRPr="00680BBA" w:rsidRDefault="006F495F" w:rsidP="00EE1DCA">
            <w:pPr>
              <w:spacing w:after="0" w:line="240" w:lineRule="auto"/>
              <w:rPr>
                <w:rFonts w:ascii="Calibri" w:eastAsia="Times New Roman" w:hAnsi="Calibri" w:cs="Times New Roman"/>
                <w:color w:val="000000"/>
              </w:rPr>
            </w:pPr>
            <w:r w:rsidRPr="00680BBA">
              <w:rPr>
                <w:rFonts w:ascii="Calibri" w:eastAsia="Times New Roman" w:hAnsi="Calibri" w:cs="Times New Roman"/>
                <w:color w:val="000000"/>
              </w:rPr>
              <w:t>3 or More</w:t>
            </w:r>
          </w:p>
        </w:tc>
        <w:tc>
          <w:tcPr>
            <w:tcW w:w="790" w:type="dxa"/>
            <w:tcBorders>
              <w:top w:val="nil"/>
              <w:left w:val="nil"/>
              <w:bottom w:val="single" w:sz="8" w:space="0" w:color="auto"/>
              <w:right w:val="single" w:sz="4" w:space="0" w:color="auto"/>
            </w:tcBorders>
            <w:shd w:val="clear" w:color="auto" w:fill="auto"/>
            <w:noWrap/>
            <w:vAlign w:val="bottom"/>
            <w:hideMark/>
          </w:tcPr>
          <w:p w14:paraId="6598F9C9" w14:textId="77777777"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0.48</w:t>
            </w:r>
          </w:p>
        </w:tc>
        <w:tc>
          <w:tcPr>
            <w:tcW w:w="789" w:type="dxa"/>
            <w:tcBorders>
              <w:top w:val="nil"/>
              <w:left w:val="nil"/>
              <w:bottom w:val="single" w:sz="8" w:space="0" w:color="auto"/>
              <w:right w:val="single" w:sz="4" w:space="0" w:color="auto"/>
            </w:tcBorders>
            <w:shd w:val="clear" w:color="auto" w:fill="auto"/>
            <w:noWrap/>
            <w:vAlign w:val="bottom"/>
            <w:hideMark/>
          </w:tcPr>
          <w:p w14:paraId="38B37B46" w14:textId="77777777"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0.46</w:t>
            </w:r>
          </w:p>
        </w:tc>
        <w:tc>
          <w:tcPr>
            <w:tcW w:w="789" w:type="dxa"/>
            <w:tcBorders>
              <w:top w:val="nil"/>
              <w:left w:val="nil"/>
              <w:bottom w:val="single" w:sz="8" w:space="0" w:color="auto"/>
              <w:right w:val="single" w:sz="4" w:space="0" w:color="auto"/>
            </w:tcBorders>
            <w:shd w:val="clear" w:color="auto" w:fill="auto"/>
            <w:noWrap/>
            <w:vAlign w:val="bottom"/>
            <w:hideMark/>
          </w:tcPr>
          <w:p w14:paraId="588CEB71" w14:textId="77777777"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0.47</w:t>
            </w:r>
          </w:p>
        </w:tc>
        <w:tc>
          <w:tcPr>
            <w:tcW w:w="789" w:type="dxa"/>
            <w:tcBorders>
              <w:top w:val="nil"/>
              <w:left w:val="nil"/>
              <w:bottom w:val="single" w:sz="8" w:space="0" w:color="auto"/>
              <w:right w:val="single" w:sz="4" w:space="0" w:color="auto"/>
            </w:tcBorders>
            <w:shd w:val="clear" w:color="auto" w:fill="auto"/>
            <w:noWrap/>
            <w:vAlign w:val="bottom"/>
            <w:hideMark/>
          </w:tcPr>
          <w:p w14:paraId="3131450A" w14:textId="77777777" w:rsidR="006F495F" w:rsidRPr="00680BBA" w:rsidRDefault="006F495F" w:rsidP="00EE1DCA">
            <w:pPr>
              <w:spacing w:after="0" w:line="240" w:lineRule="auto"/>
              <w:jc w:val="center"/>
              <w:rPr>
                <w:rFonts w:ascii="Calibri" w:eastAsia="Times New Roman" w:hAnsi="Calibri" w:cs="Times New Roman"/>
                <w:color w:val="000000"/>
              </w:rPr>
            </w:pPr>
            <w:r w:rsidRPr="00680BBA">
              <w:rPr>
                <w:rFonts w:ascii="Calibri" w:eastAsia="Times New Roman" w:hAnsi="Calibri" w:cs="Times New Roman"/>
                <w:color w:val="000000"/>
              </w:rPr>
              <w:t> </w:t>
            </w:r>
          </w:p>
        </w:tc>
        <w:tc>
          <w:tcPr>
            <w:tcW w:w="789" w:type="dxa"/>
            <w:tcBorders>
              <w:top w:val="nil"/>
              <w:left w:val="nil"/>
              <w:bottom w:val="single" w:sz="8" w:space="0" w:color="auto"/>
              <w:right w:val="single" w:sz="8" w:space="0" w:color="auto"/>
            </w:tcBorders>
            <w:shd w:val="clear" w:color="auto" w:fill="auto"/>
            <w:noWrap/>
            <w:vAlign w:val="bottom"/>
            <w:hideMark/>
          </w:tcPr>
          <w:p w14:paraId="4A325531" w14:textId="1DCDC6D6" w:rsidR="006F495F" w:rsidRPr="00680BBA" w:rsidRDefault="00DF4F85" w:rsidP="00EE1DC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0.44</w:t>
            </w:r>
            <w:r w:rsidR="006F495F" w:rsidRPr="00680BBA">
              <w:rPr>
                <w:rFonts w:ascii="Calibri" w:eastAsia="Times New Roman" w:hAnsi="Calibri" w:cs="Times New Roman"/>
                <w:color w:val="000000"/>
              </w:rPr>
              <w:t> </w:t>
            </w:r>
          </w:p>
        </w:tc>
      </w:tr>
    </w:tbl>
    <w:p w14:paraId="472F01EE" w14:textId="77777777" w:rsidR="006F495F" w:rsidRDefault="006F495F" w:rsidP="006F495F">
      <w:pPr>
        <w:pStyle w:val="NoSpacing"/>
        <w:rPr>
          <w:sz w:val="24"/>
          <w:szCs w:val="24"/>
        </w:rPr>
      </w:pPr>
    </w:p>
    <w:p w14:paraId="7169DE60" w14:textId="49CE9262" w:rsidR="006F495F" w:rsidRDefault="006F52DA" w:rsidP="006F495F">
      <w:pPr>
        <w:pStyle w:val="NoSpacing"/>
        <w:rPr>
          <w:sz w:val="24"/>
          <w:szCs w:val="24"/>
        </w:rPr>
      </w:pPr>
      <w:r>
        <w:rPr>
          <w:sz w:val="24"/>
          <w:szCs w:val="24"/>
        </w:rPr>
        <w:t>The DCFS 2</w:t>
      </w:r>
      <w:r w:rsidRPr="006F52DA">
        <w:rPr>
          <w:sz w:val="24"/>
          <w:szCs w:val="24"/>
          <w:vertAlign w:val="superscript"/>
        </w:rPr>
        <w:t>nd</w:t>
      </w:r>
      <w:r>
        <w:rPr>
          <w:sz w:val="24"/>
          <w:szCs w:val="24"/>
        </w:rPr>
        <w:t xml:space="preserve"> Quarter SFY 2015 report states the following:</w:t>
      </w:r>
    </w:p>
    <w:p w14:paraId="6E6C3F8A" w14:textId="77777777" w:rsidR="006F52DA" w:rsidRDefault="006F52DA" w:rsidP="006F495F">
      <w:pPr>
        <w:pStyle w:val="NoSpacing"/>
        <w:rPr>
          <w:sz w:val="24"/>
          <w:szCs w:val="24"/>
        </w:rPr>
      </w:pPr>
    </w:p>
    <w:tbl>
      <w:tblPr>
        <w:tblStyle w:val="TableGrid"/>
        <w:tblW w:w="0" w:type="auto"/>
        <w:tblLook w:val="04A0" w:firstRow="1" w:lastRow="0" w:firstColumn="1" w:lastColumn="0" w:noHBand="0" w:noVBand="1"/>
      </w:tblPr>
      <w:tblGrid>
        <w:gridCol w:w="2337"/>
        <w:gridCol w:w="2337"/>
        <w:gridCol w:w="2338"/>
      </w:tblGrid>
      <w:tr w:rsidR="006F52DA" w14:paraId="32B0099F" w14:textId="77777777" w:rsidTr="006F52DA">
        <w:tc>
          <w:tcPr>
            <w:tcW w:w="2337" w:type="dxa"/>
          </w:tcPr>
          <w:p w14:paraId="5EF51631" w14:textId="5F9CB6AC" w:rsidR="006F52DA" w:rsidRDefault="006F52DA" w:rsidP="006F495F">
            <w:pPr>
              <w:pStyle w:val="NoSpacing"/>
              <w:rPr>
                <w:sz w:val="24"/>
                <w:szCs w:val="24"/>
              </w:rPr>
            </w:pPr>
            <w:r>
              <w:rPr>
                <w:sz w:val="24"/>
                <w:szCs w:val="24"/>
              </w:rPr>
              <w:t>Length of Stay</w:t>
            </w:r>
          </w:p>
        </w:tc>
        <w:tc>
          <w:tcPr>
            <w:tcW w:w="2337" w:type="dxa"/>
          </w:tcPr>
          <w:p w14:paraId="7B614750" w14:textId="1A18CECF" w:rsidR="006F52DA" w:rsidRDefault="006F52DA" w:rsidP="006F495F">
            <w:pPr>
              <w:pStyle w:val="NoSpacing"/>
              <w:rPr>
                <w:sz w:val="24"/>
                <w:szCs w:val="24"/>
              </w:rPr>
            </w:pPr>
            <w:r>
              <w:rPr>
                <w:sz w:val="24"/>
                <w:szCs w:val="24"/>
              </w:rPr>
              <w:t>National Standard</w:t>
            </w:r>
          </w:p>
        </w:tc>
        <w:tc>
          <w:tcPr>
            <w:tcW w:w="2338" w:type="dxa"/>
          </w:tcPr>
          <w:p w14:paraId="5DF9CF62" w14:textId="44C2AB5F" w:rsidR="006F52DA" w:rsidRDefault="006F52DA" w:rsidP="006F495F">
            <w:pPr>
              <w:pStyle w:val="NoSpacing"/>
              <w:rPr>
                <w:sz w:val="24"/>
                <w:szCs w:val="24"/>
              </w:rPr>
            </w:pPr>
            <w:r>
              <w:rPr>
                <w:sz w:val="24"/>
                <w:szCs w:val="24"/>
              </w:rPr>
              <w:t>Arkansas Performance</w:t>
            </w:r>
          </w:p>
        </w:tc>
      </w:tr>
      <w:tr w:rsidR="006F52DA" w14:paraId="33BEF21B" w14:textId="77777777" w:rsidTr="006F52DA">
        <w:tc>
          <w:tcPr>
            <w:tcW w:w="2337" w:type="dxa"/>
          </w:tcPr>
          <w:p w14:paraId="1EEBD5EC" w14:textId="6ABD1D4B" w:rsidR="006F52DA" w:rsidRDefault="006F52DA" w:rsidP="006F495F">
            <w:pPr>
              <w:pStyle w:val="NoSpacing"/>
              <w:rPr>
                <w:sz w:val="24"/>
                <w:szCs w:val="24"/>
              </w:rPr>
            </w:pPr>
            <w:r>
              <w:rPr>
                <w:sz w:val="24"/>
                <w:szCs w:val="24"/>
              </w:rPr>
              <w:t>Children in care less than 12 months</w:t>
            </w:r>
          </w:p>
        </w:tc>
        <w:tc>
          <w:tcPr>
            <w:tcW w:w="2337" w:type="dxa"/>
          </w:tcPr>
          <w:p w14:paraId="587A9400" w14:textId="7B3542FC" w:rsidR="006F52DA" w:rsidRDefault="006F52DA" w:rsidP="006F495F">
            <w:pPr>
              <w:pStyle w:val="NoSpacing"/>
              <w:rPr>
                <w:sz w:val="24"/>
                <w:szCs w:val="24"/>
              </w:rPr>
            </w:pPr>
            <w:r>
              <w:rPr>
                <w:sz w:val="24"/>
                <w:szCs w:val="24"/>
              </w:rPr>
              <w:t>86% experienced 2 or fewer placements</w:t>
            </w:r>
          </w:p>
        </w:tc>
        <w:tc>
          <w:tcPr>
            <w:tcW w:w="2338" w:type="dxa"/>
          </w:tcPr>
          <w:p w14:paraId="718CB8F6" w14:textId="13DAA13C" w:rsidR="006F52DA" w:rsidRDefault="006F52DA" w:rsidP="006F495F">
            <w:pPr>
              <w:pStyle w:val="NoSpacing"/>
              <w:rPr>
                <w:sz w:val="24"/>
                <w:szCs w:val="24"/>
              </w:rPr>
            </w:pPr>
            <w:r>
              <w:rPr>
                <w:sz w:val="24"/>
                <w:szCs w:val="24"/>
              </w:rPr>
              <w:t>72%</w:t>
            </w:r>
          </w:p>
        </w:tc>
      </w:tr>
      <w:tr w:rsidR="006F52DA" w14:paraId="0DD8FF36" w14:textId="77777777" w:rsidTr="006F52DA">
        <w:tc>
          <w:tcPr>
            <w:tcW w:w="2337" w:type="dxa"/>
          </w:tcPr>
          <w:p w14:paraId="3F5AB233" w14:textId="2DF713B3" w:rsidR="006F52DA" w:rsidRDefault="006F52DA" w:rsidP="006F495F">
            <w:pPr>
              <w:pStyle w:val="NoSpacing"/>
              <w:rPr>
                <w:sz w:val="24"/>
                <w:szCs w:val="24"/>
              </w:rPr>
            </w:pPr>
            <w:r>
              <w:rPr>
                <w:sz w:val="24"/>
                <w:szCs w:val="24"/>
              </w:rPr>
              <w:t>Children in care 12-24 months</w:t>
            </w:r>
          </w:p>
        </w:tc>
        <w:tc>
          <w:tcPr>
            <w:tcW w:w="2337" w:type="dxa"/>
          </w:tcPr>
          <w:p w14:paraId="157337CE" w14:textId="1DD53056" w:rsidR="006F52DA" w:rsidRDefault="006F52DA" w:rsidP="006F495F">
            <w:pPr>
              <w:pStyle w:val="NoSpacing"/>
              <w:rPr>
                <w:sz w:val="24"/>
                <w:szCs w:val="24"/>
              </w:rPr>
            </w:pPr>
            <w:r>
              <w:rPr>
                <w:sz w:val="24"/>
                <w:szCs w:val="24"/>
              </w:rPr>
              <w:t>65.4% experienced 2 or fewer placements</w:t>
            </w:r>
          </w:p>
        </w:tc>
        <w:tc>
          <w:tcPr>
            <w:tcW w:w="2338" w:type="dxa"/>
          </w:tcPr>
          <w:p w14:paraId="0030952F" w14:textId="45683025" w:rsidR="006F52DA" w:rsidRDefault="006F52DA" w:rsidP="006F495F">
            <w:pPr>
              <w:pStyle w:val="NoSpacing"/>
              <w:rPr>
                <w:sz w:val="24"/>
                <w:szCs w:val="24"/>
              </w:rPr>
            </w:pPr>
            <w:r>
              <w:rPr>
                <w:sz w:val="24"/>
                <w:szCs w:val="24"/>
              </w:rPr>
              <w:t>44%</w:t>
            </w:r>
          </w:p>
        </w:tc>
      </w:tr>
      <w:tr w:rsidR="006F52DA" w14:paraId="1396E8E5" w14:textId="77777777" w:rsidTr="006F52DA">
        <w:tc>
          <w:tcPr>
            <w:tcW w:w="2337" w:type="dxa"/>
          </w:tcPr>
          <w:p w14:paraId="58C371D7" w14:textId="7ABB8B52" w:rsidR="006F52DA" w:rsidRDefault="006F52DA" w:rsidP="006F495F">
            <w:pPr>
              <w:pStyle w:val="NoSpacing"/>
              <w:rPr>
                <w:sz w:val="24"/>
                <w:szCs w:val="24"/>
              </w:rPr>
            </w:pPr>
            <w:r>
              <w:rPr>
                <w:sz w:val="24"/>
                <w:szCs w:val="24"/>
              </w:rPr>
              <w:t>Children in care more than 2 years</w:t>
            </w:r>
          </w:p>
        </w:tc>
        <w:tc>
          <w:tcPr>
            <w:tcW w:w="2337" w:type="dxa"/>
          </w:tcPr>
          <w:p w14:paraId="5CF319EC" w14:textId="54E943CB" w:rsidR="006F52DA" w:rsidRDefault="006F52DA" w:rsidP="006F495F">
            <w:pPr>
              <w:pStyle w:val="NoSpacing"/>
              <w:rPr>
                <w:sz w:val="24"/>
                <w:szCs w:val="24"/>
              </w:rPr>
            </w:pPr>
            <w:r>
              <w:rPr>
                <w:sz w:val="24"/>
                <w:szCs w:val="24"/>
              </w:rPr>
              <w:t>41.8% experienced 2 or fewer placements</w:t>
            </w:r>
          </w:p>
        </w:tc>
        <w:tc>
          <w:tcPr>
            <w:tcW w:w="2338" w:type="dxa"/>
          </w:tcPr>
          <w:p w14:paraId="7536643F" w14:textId="490BE1DE" w:rsidR="006F52DA" w:rsidRDefault="006F52DA" w:rsidP="006F495F">
            <w:pPr>
              <w:pStyle w:val="NoSpacing"/>
              <w:rPr>
                <w:sz w:val="24"/>
                <w:szCs w:val="24"/>
              </w:rPr>
            </w:pPr>
            <w:r>
              <w:rPr>
                <w:sz w:val="24"/>
                <w:szCs w:val="24"/>
              </w:rPr>
              <w:t>16%</w:t>
            </w:r>
          </w:p>
        </w:tc>
      </w:tr>
    </w:tbl>
    <w:p w14:paraId="14D2A02E" w14:textId="77777777" w:rsidR="006F52DA" w:rsidRDefault="006F52DA" w:rsidP="006F495F">
      <w:pPr>
        <w:pStyle w:val="NoSpacing"/>
        <w:rPr>
          <w:sz w:val="24"/>
          <w:szCs w:val="24"/>
        </w:rPr>
      </w:pPr>
    </w:p>
    <w:p w14:paraId="0584FDB1" w14:textId="71D24517" w:rsidR="006F495F" w:rsidRPr="00DF4F85" w:rsidRDefault="00DF4F85" w:rsidP="007E28E9">
      <w:pPr>
        <w:pStyle w:val="NoSpacing"/>
        <w:rPr>
          <w:sz w:val="24"/>
          <w:szCs w:val="24"/>
        </w:rPr>
      </w:pPr>
      <w:r>
        <w:rPr>
          <w:sz w:val="24"/>
          <w:szCs w:val="24"/>
        </w:rPr>
        <w:t>DCFS experiences significant challenges with placement stability</w:t>
      </w:r>
      <w:r w:rsidR="00E73A54">
        <w:rPr>
          <w:sz w:val="24"/>
          <w:szCs w:val="24"/>
        </w:rPr>
        <w:t>, which is not surprising given the lack of available placement options for children.  When placement resources are limited, placement selection becomes driven largely by bed availability rather than careful matching of child needs to caregiver abilities.  Frequent placement changes are traumatic for children already experiencing trauma from removal from their families.  Trauma responses can be expressed behaviorally</w:t>
      </w:r>
      <w:r w:rsidR="002B5870">
        <w:rPr>
          <w:sz w:val="24"/>
          <w:szCs w:val="24"/>
        </w:rPr>
        <w:t xml:space="preserve"> as anger, defiance and depression</w:t>
      </w:r>
      <w:r w:rsidR="000B0A26">
        <w:rPr>
          <w:sz w:val="24"/>
          <w:szCs w:val="24"/>
        </w:rPr>
        <w:t>,</w:t>
      </w:r>
      <w:r w:rsidR="002B5870">
        <w:rPr>
          <w:sz w:val="24"/>
          <w:szCs w:val="24"/>
        </w:rPr>
        <w:t xml:space="preserve"> which without effective mental health services, can lead to further disruptions.</w:t>
      </w:r>
    </w:p>
    <w:p w14:paraId="4550D410" w14:textId="77777777" w:rsidR="00215659" w:rsidRDefault="00215659" w:rsidP="007E28E9">
      <w:pPr>
        <w:pStyle w:val="NoSpacing"/>
        <w:rPr>
          <w:sz w:val="24"/>
          <w:szCs w:val="24"/>
        </w:rPr>
      </w:pPr>
    </w:p>
    <w:p w14:paraId="3D8A37CA" w14:textId="77777777" w:rsidR="007C07B9" w:rsidRDefault="007C07B9" w:rsidP="007E28E9">
      <w:pPr>
        <w:pStyle w:val="NoSpacing"/>
        <w:rPr>
          <w:sz w:val="24"/>
          <w:szCs w:val="24"/>
        </w:rPr>
      </w:pPr>
    </w:p>
    <w:p w14:paraId="48E43424" w14:textId="77777777" w:rsidR="006F495F" w:rsidRDefault="006F495F" w:rsidP="006F495F">
      <w:pPr>
        <w:pStyle w:val="NoSpacing"/>
        <w:rPr>
          <w:b/>
          <w:i/>
          <w:sz w:val="24"/>
          <w:szCs w:val="24"/>
        </w:rPr>
      </w:pPr>
      <w:r w:rsidRPr="00AB4240">
        <w:rPr>
          <w:b/>
          <w:i/>
          <w:sz w:val="24"/>
          <w:szCs w:val="24"/>
        </w:rPr>
        <w:t>Engagement of Families in Case Planning</w:t>
      </w:r>
      <w:r>
        <w:rPr>
          <w:b/>
          <w:i/>
          <w:sz w:val="24"/>
          <w:szCs w:val="24"/>
        </w:rPr>
        <w:t xml:space="preserve"> </w:t>
      </w:r>
    </w:p>
    <w:p w14:paraId="75B12A1B" w14:textId="77777777" w:rsidR="006F495F" w:rsidRDefault="006F495F" w:rsidP="006F495F">
      <w:pPr>
        <w:pStyle w:val="NoSpacing"/>
        <w:rPr>
          <w:b/>
          <w:i/>
          <w:sz w:val="24"/>
          <w:szCs w:val="24"/>
        </w:rPr>
      </w:pPr>
    </w:p>
    <w:tbl>
      <w:tblPr>
        <w:tblStyle w:val="TableGrid"/>
        <w:tblW w:w="0" w:type="auto"/>
        <w:tblLook w:val="04A0" w:firstRow="1" w:lastRow="0" w:firstColumn="1" w:lastColumn="0" w:noHBand="0" w:noVBand="1"/>
      </w:tblPr>
      <w:tblGrid>
        <w:gridCol w:w="1075"/>
        <w:gridCol w:w="1080"/>
        <w:gridCol w:w="2340"/>
      </w:tblGrid>
      <w:tr w:rsidR="006F495F" w14:paraId="2EBBF4C2" w14:textId="77777777" w:rsidTr="00EE1DCA">
        <w:tc>
          <w:tcPr>
            <w:tcW w:w="1075" w:type="dxa"/>
          </w:tcPr>
          <w:p w14:paraId="28A956A1" w14:textId="77777777" w:rsidR="006F495F" w:rsidRDefault="006F495F" w:rsidP="00EE1DCA">
            <w:pPr>
              <w:pStyle w:val="NoSpacing"/>
              <w:rPr>
                <w:sz w:val="24"/>
                <w:szCs w:val="24"/>
              </w:rPr>
            </w:pPr>
            <w:r>
              <w:rPr>
                <w:sz w:val="24"/>
                <w:szCs w:val="24"/>
              </w:rPr>
              <w:t>SFY</w:t>
            </w:r>
          </w:p>
        </w:tc>
        <w:tc>
          <w:tcPr>
            <w:tcW w:w="1080" w:type="dxa"/>
          </w:tcPr>
          <w:p w14:paraId="036D2C0B" w14:textId="77777777" w:rsidR="006F495F" w:rsidRDefault="006F495F" w:rsidP="00EE1DCA">
            <w:pPr>
              <w:pStyle w:val="NoSpacing"/>
              <w:rPr>
                <w:sz w:val="24"/>
                <w:szCs w:val="24"/>
              </w:rPr>
            </w:pPr>
            <w:r>
              <w:rPr>
                <w:sz w:val="24"/>
                <w:szCs w:val="24"/>
              </w:rPr>
              <w:t>In-Home</w:t>
            </w:r>
          </w:p>
        </w:tc>
        <w:tc>
          <w:tcPr>
            <w:tcW w:w="2340" w:type="dxa"/>
          </w:tcPr>
          <w:p w14:paraId="0E3F5566" w14:textId="77777777" w:rsidR="006F495F" w:rsidRDefault="006F495F" w:rsidP="00EE1DCA">
            <w:pPr>
              <w:pStyle w:val="NoSpacing"/>
              <w:rPr>
                <w:sz w:val="24"/>
                <w:szCs w:val="24"/>
              </w:rPr>
            </w:pPr>
            <w:r>
              <w:rPr>
                <w:sz w:val="24"/>
                <w:szCs w:val="24"/>
              </w:rPr>
              <w:t>Foster Care Cases</w:t>
            </w:r>
          </w:p>
        </w:tc>
      </w:tr>
      <w:tr w:rsidR="006F495F" w14:paraId="199D8EFE" w14:textId="77777777" w:rsidTr="00EE1DCA">
        <w:tc>
          <w:tcPr>
            <w:tcW w:w="1075" w:type="dxa"/>
          </w:tcPr>
          <w:p w14:paraId="7BA993FC" w14:textId="77777777" w:rsidR="006F495F" w:rsidRDefault="006F495F" w:rsidP="00EE1DCA">
            <w:pPr>
              <w:pStyle w:val="NoSpacing"/>
              <w:rPr>
                <w:sz w:val="24"/>
                <w:szCs w:val="24"/>
              </w:rPr>
            </w:pPr>
            <w:r>
              <w:rPr>
                <w:sz w:val="24"/>
                <w:szCs w:val="24"/>
              </w:rPr>
              <w:t>2011</w:t>
            </w:r>
          </w:p>
        </w:tc>
        <w:tc>
          <w:tcPr>
            <w:tcW w:w="1080" w:type="dxa"/>
          </w:tcPr>
          <w:p w14:paraId="339F1EC3" w14:textId="77777777" w:rsidR="006F495F" w:rsidRDefault="006F495F" w:rsidP="00EE1DCA">
            <w:pPr>
              <w:pStyle w:val="NoSpacing"/>
              <w:rPr>
                <w:sz w:val="24"/>
                <w:szCs w:val="24"/>
              </w:rPr>
            </w:pPr>
            <w:r>
              <w:rPr>
                <w:sz w:val="24"/>
                <w:szCs w:val="24"/>
              </w:rPr>
              <w:t>38%</w:t>
            </w:r>
          </w:p>
        </w:tc>
        <w:tc>
          <w:tcPr>
            <w:tcW w:w="2340" w:type="dxa"/>
          </w:tcPr>
          <w:p w14:paraId="7A6BEE30" w14:textId="77777777" w:rsidR="006F495F" w:rsidRDefault="006F495F" w:rsidP="00EE1DCA">
            <w:pPr>
              <w:pStyle w:val="NoSpacing"/>
              <w:rPr>
                <w:sz w:val="24"/>
                <w:szCs w:val="24"/>
              </w:rPr>
            </w:pPr>
            <w:r>
              <w:rPr>
                <w:sz w:val="24"/>
                <w:szCs w:val="24"/>
              </w:rPr>
              <w:t>61%</w:t>
            </w:r>
          </w:p>
        </w:tc>
      </w:tr>
      <w:tr w:rsidR="006F495F" w14:paraId="20E0FF99" w14:textId="77777777" w:rsidTr="00EE1DCA">
        <w:tc>
          <w:tcPr>
            <w:tcW w:w="1075" w:type="dxa"/>
          </w:tcPr>
          <w:p w14:paraId="4C835AF3" w14:textId="77777777" w:rsidR="006F495F" w:rsidRDefault="006F495F" w:rsidP="00EE1DCA">
            <w:pPr>
              <w:pStyle w:val="NoSpacing"/>
              <w:rPr>
                <w:sz w:val="24"/>
                <w:szCs w:val="24"/>
              </w:rPr>
            </w:pPr>
            <w:r>
              <w:rPr>
                <w:sz w:val="24"/>
                <w:szCs w:val="24"/>
              </w:rPr>
              <w:t>2012</w:t>
            </w:r>
          </w:p>
        </w:tc>
        <w:tc>
          <w:tcPr>
            <w:tcW w:w="1080" w:type="dxa"/>
          </w:tcPr>
          <w:p w14:paraId="6644EA5A" w14:textId="77777777" w:rsidR="006F495F" w:rsidRDefault="006F495F" w:rsidP="00EE1DCA">
            <w:pPr>
              <w:pStyle w:val="NoSpacing"/>
              <w:rPr>
                <w:sz w:val="24"/>
                <w:szCs w:val="24"/>
              </w:rPr>
            </w:pPr>
            <w:r>
              <w:rPr>
                <w:sz w:val="24"/>
                <w:szCs w:val="24"/>
              </w:rPr>
              <w:t>38%</w:t>
            </w:r>
          </w:p>
        </w:tc>
        <w:tc>
          <w:tcPr>
            <w:tcW w:w="2340" w:type="dxa"/>
          </w:tcPr>
          <w:p w14:paraId="7CDF62DF" w14:textId="77777777" w:rsidR="006F495F" w:rsidRDefault="006F495F" w:rsidP="00EE1DCA">
            <w:pPr>
              <w:pStyle w:val="NoSpacing"/>
              <w:rPr>
                <w:sz w:val="24"/>
                <w:szCs w:val="24"/>
              </w:rPr>
            </w:pPr>
            <w:r>
              <w:rPr>
                <w:sz w:val="24"/>
                <w:szCs w:val="24"/>
              </w:rPr>
              <w:t>69%</w:t>
            </w:r>
          </w:p>
        </w:tc>
      </w:tr>
      <w:tr w:rsidR="006F495F" w14:paraId="7A6958BD" w14:textId="77777777" w:rsidTr="00EE1DCA">
        <w:tc>
          <w:tcPr>
            <w:tcW w:w="1075" w:type="dxa"/>
          </w:tcPr>
          <w:p w14:paraId="72BA4A59" w14:textId="77777777" w:rsidR="006F495F" w:rsidRDefault="006F495F" w:rsidP="00EE1DCA">
            <w:pPr>
              <w:pStyle w:val="NoSpacing"/>
              <w:rPr>
                <w:sz w:val="24"/>
                <w:szCs w:val="24"/>
              </w:rPr>
            </w:pPr>
            <w:r>
              <w:rPr>
                <w:sz w:val="24"/>
                <w:szCs w:val="24"/>
              </w:rPr>
              <w:t>2013</w:t>
            </w:r>
          </w:p>
        </w:tc>
        <w:tc>
          <w:tcPr>
            <w:tcW w:w="1080" w:type="dxa"/>
          </w:tcPr>
          <w:p w14:paraId="6FC33A41" w14:textId="77777777" w:rsidR="006F495F" w:rsidRDefault="006F495F" w:rsidP="00EE1DCA">
            <w:pPr>
              <w:pStyle w:val="NoSpacing"/>
              <w:rPr>
                <w:sz w:val="24"/>
                <w:szCs w:val="24"/>
              </w:rPr>
            </w:pPr>
            <w:r>
              <w:rPr>
                <w:sz w:val="24"/>
                <w:szCs w:val="24"/>
              </w:rPr>
              <w:t>48%</w:t>
            </w:r>
          </w:p>
        </w:tc>
        <w:tc>
          <w:tcPr>
            <w:tcW w:w="2340" w:type="dxa"/>
          </w:tcPr>
          <w:p w14:paraId="2F9ECE9E" w14:textId="77777777" w:rsidR="006F495F" w:rsidRDefault="006F495F" w:rsidP="00EE1DCA">
            <w:pPr>
              <w:pStyle w:val="NoSpacing"/>
              <w:rPr>
                <w:sz w:val="24"/>
                <w:szCs w:val="24"/>
              </w:rPr>
            </w:pPr>
            <w:r>
              <w:rPr>
                <w:sz w:val="24"/>
                <w:szCs w:val="24"/>
              </w:rPr>
              <w:t>75%</w:t>
            </w:r>
          </w:p>
        </w:tc>
      </w:tr>
      <w:tr w:rsidR="006F495F" w14:paraId="41D75224" w14:textId="77777777" w:rsidTr="00EE1DCA">
        <w:tc>
          <w:tcPr>
            <w:tcW w:w="1075" w:type="dxa"/>
          </w:tcPr>
          <w:p w14:paraId="367E4698" w14:textId="77777777" w:rsidR="006F495F" w:rsidRDefault="006F495F" w:rsidP="00EE1DCA">
            <w:pPr>
              <w:pStyle w:val="NoSpacing"/>
              <w:rPr>
                <w:sz w:val="24"/>
                <w:szCs w:val="24"/>
              </w:rPr>
            </w:pPr>
            <w:r>
              <w:rPr>
                <w:sz w:val="24"/>
                <w:szCs w:val="24"/>
              </w:rPr>
              <w:t>2014</w:t>
            </w:r>
          </w:p>
        </w:tc>
        <w:tc>
          <w:tcPr>
            <w:tcW w:w="1080" w:type="dxa"/>
          </w:tcPr>
          <w:p w14:paraId="2566F97B" w14:textId="77777777" w:rsidR="006F495F" w:rsidRDefault="006F495F" w:rsidP="00EE1DCA">
            <w:pPr>
              <w:pStyle w:val="NoSpacing"/>
              <w:rPr>
                <w:sz w:val="24"/>
                <w:szCs w:val="24"/>
              </w:rPr>
            </w:pPr>
            <w:r>
              <w:rPr>
                <w:sz w:val="24"/>
                <w:szCs w:val="24"/>
              </w:rPr>
              <w:t>50%</w:t>
            </w:r>
          </w:p>
        </w:tc>
        <w:tc>
          <w:tcPr>
            <w:tcW w:w="2340" w:type="dxa"/>
          </w:tcPr>
          <w:p w14:paraId="7A7DA95D" w14:textId="77777777" w:rsidR="006F495F" w:rsidRDefault="006F495F" w:rsidP="00EE1DCA">
            <w:pPr>
              <w:pStyle w:val="NoSpacing"/>
              <w:rPr>
                <w:sz w:val="24"/>
                <w:szCs w:val="24"/>
              </w:rPr>
            </w:pPr>
            <w:r>
              <w:rPr>
                <w:sz w:val="24"/>
                <w:szCs w:val="24"/>
              </w:rPr>
              <w:t>81%</w:t>
            </w:r>
          </w:p>
        </w:tc>
      </w:tr>
      <w:tr w:rsidR="006F495F" w14:paraId="33410EBA" w14:textId="77777777" w:rsidTr="00EE1DCA">
        <w:tc>
          <w:tcPr>
            <w:tcW w:w="1075" w:type="dxa"/>
          </w:tcPr>
          <w:p w14:paraId="7C770491" w14:textId="77777777" w:rsidR="006F495F" w:rsidRDefault="006F495F" w:rsidP="00EE1DCA">
            <w:pPr>
              <w:pStyle w:val="NoSpacing"/>
              <w:rPr>
                <w:sz w:val="24"/>
                <w:szCs w:val="24"/>
              </w:rPr>
            </w:pPr>
            <w:r>
              <w:rPr>
                <w:sz w:val="24"/>
                <w:szCs w:val="24"/>
              </w:rPr>
              <w:t>2015</w:t>
            </w:r>
          </w:p>
        </w:tc>
        <w:tc>
          <w:tcPr>
            <w:tcW w:w="3420" w:type="dxa"/>
            <w:gridSpan w:val="2"/>
          </w:tcPr>
          <w:p w14:paraId="7CF7388A" w14:textId="77777777" w:rsidR="006F495F" w:rsidRDefault="006F495F" w:rsidP="00EE1DCA">
            <w:pPr>
              <w:pStyle w:val="NoSpacing"/>
              <w:rPr>
                <w:sz w:val="24"/>
                <w:szCs w:val="24"/>
              </w:rPr>
            </w:pPr>
            <w:r>
              <w:rPr>
                <w:sz w:val="24"/>
                <w:szCs w:val="24"/>
              </w:rPr>
              <w:t>In progress</w:t>
            </w:r>
          </w:p>
        </w:tc>
      </w:tr>
    </w:tbl>
    <w:p w14:paraId="61DED481" w14:textId="77777777" w:rsidR="006F495F" w:rsidRDefault="006F495F" w:rsidP="006F495F">
      <w:pPr>
        <w:pStyle w:val="NoSpacing"/>
        <w:rPr>
          <w:sz w:val="24"/>
          <w:szCs w:val="24"/>
        </w:rPr>
      </w:pPr>
    </w:p>
    <w:p w14:paraId="35F5246E" w14:textId="09259F2C" w:rsidR="002B5870" w:rsidRDefault="002B5870" w:rsidP="006F495F">
      <w:pPr>
        <w:pStyle w:val="NoSpacing"/>
        <w:rPr>
          <w:sz w:val="24"/>
          <w:szCs w:val="24"/>
        </w:rPr>
      </w:pPr>
      <w:r>
        <w:rPr>
          <w:sz w:val="24"/>
          <w:szCs w:val="24"/>
        </w:rPr>
        <w:t>Nationally, there is agreement that youth and families</w:t>
      </w:r>
      <w:r w:rsidR="00F821CD">
        <w:rPr>
          <w:sz w:val="24"/>
          <w:szCs w:val="24"/>
        </w:rPr>
        <w:t xml:space="preserve"> are more involved and committed to a planning process that meaningfully involves them in setting goals and developing strategies.</w:t>
      </w:r>
    </w:p>
    <w:p w14:paraId="3814985B" w14:textId="2F7CC657" w:rsidR="00F821CD" w:rsidRDefault="00F821CD" w:rsidP="006F495F">
      <w:pPr>
        <w:pStyle w:val="NoSpacing"/>
        <w:rPr>
          <w:sz w:val="24"/>
          <w:szCs w:val="24"/>
        </w:rPr>
      </w:pPr>
      <w:r>
        <w:rPr>
          <w:sz w:val="24"/>
          <w:szCs w:val="24"/>
        </w:rPr>
        <w:t>The table above reflects improvement in engaging families of children in foster care</w:t>
      </w:r>
      <w:r w:rsidR="000B0A26">
        <w:rPr>
          <w:sz w:val="24"/>
          <w:szCs w:val="24"/>
        </w:rPr>
        <w:t>,</w:t>
      </w:r>
      <w:r>
        <w:rPr>
          <w:sz w:val="24"/>
          <w:szCs w:val="24"/>
        </w:rPr>
        <w:t xml:space="preserve"> but significant challenges </w:t>
      </w:r>
      <w:r w:rsidR="002570E6">
        <w:rPr>
          <w:sz w:val="24"/>
          <w:szCs w:val="24"/>
        </w:rPr>
        <w:t xml:space="preserve">remain </w:t>
      </w:r>
      <w:r>
        <w:rPr>
          <w:sz w:val="24"/>
          <w:szCs w:val="24"/>
        </w:rPr>
        <w:t>in engaging in</w:t>
      </w:r>
      <w:r w:rsidR="00B362CB">
        <w:rPr>
          <w:sz w:val="24"/>
          <w:szCs w:val="24"/>
        </w:rPr>
        <w:t>-</w:t>
      </w:r>
      <w:r>
        <w:rPr>
          <w:sz w:val="24"/>
          <w:szCs w:val="24"/>
        </w:rPr>
        <w:t>home caregivers.</w:t>
      </w:r>
    </w:p>
    <w:p w14:paraId="18837052" w14:textId="77777777" w:rsidR="002B5870" w:rsidRPr="00D13683" w:rsidRDefault="002B5870" w:rsidP="006F495F">
      <w:pPr>
        <w:pStyle w:val="NoSpacing"/>
        <w:rPr>
          <w:sz w:val="24"/>
          <w:szCs w:val="24"/>
        </w:rPr>
      </w:pPr>
    </w:p>
    <w:p w14:paraId="3C8B3806" w14:textId="77777777" w:rsidR="006F495F" w:rsidRDefault="006F495F" w:rsidP="006F495F">
      <w:pPr>
        <w:pStyle w:val="NoSpacing"/>
        <w:rPr>
          <w:b/>
          <w:i/>
          <w:sz w:val="24"/>
          <w:szCs w:val="24"/>
        </w:rPr>
      </w:pPr>
      <w:r w:rsidRPr="00AB4240">
        <w:rPr>
          <w:b/>
          <w:i/>
          <w:sz w:val="24"/>
          <w:szCs w:val="24"/>
        </w:rPr>
        <w:t>Completion of Monthly Caseworker Visits</w:t>
      </w:r>
      <w:r>
        <w:rPr>
          <w:b/>
          <w:i/>
          <w:sz w:val="24"/>
          <w:szCs w:val="24"/>
        </w:rPr>
        <w:t xml:space="preserve"> </w:t>
      </w:r>
    </w:p>
    <w:p w14:paraId="43F10BE1" w14:textId="77777777" w:rsidR="006F495F" w:rsidRDefault="006F495F" w:rsidP="006F495F">
      <w:pPr>
        <w:pStyle w:val="NoSpacing"/>
        <w:rPr>
          <w:b/>
          <w:i/>
          <w:sz w:val="24"/>
          <w:szCs w:val="24"/>
        </w:rPr>
      </w:pPr>
    </w:p>
    <w:tbl>
      <w:tblPr>
        <w:tblStyle w:val="TableGrid"/>
        <w:tblW w:w="0" w:type="auto"/>
        <w:tblLook w:val="04A0" w:firstRow="1" w:lastRow="0" w:firstColumn="1" w:lastColumn="0" w:noHBand="0" w:noVBand="1"/>
      </w:tblPr>
      <w:tblGrid>
        <w:gridCol w:w="1075"/>
        <w:gridCol w:w="1080"/>
        <w:gridCol w:w="2340"/>
      </w:tblGrid>
      <w:tr w:rsidR="006F495F" w14:paraId="622AA400" w14:textId="77777777" w:rsidTr="00EE1DCA">
        <w:tc>
          <w:tcPr>
            <w:tcW w:w="1075" w:type="dxa"/>
          </w:tcPr>
          <w:p w14:paraId="11619E71" w14:textId="77777777" w:rsidR="006F495F" w:rsidRDefault="006F495F" w:rsidP="00EE1DCA">
            <w:pPr>
              <w:pStyle w:val="NoSpacing"/>
              <w:rPr>
                <w:sz w:val="24"/>
                <w:szCs w:val="24"/>
              </w:rPr>
            </w:pPr>
            <w:r>
              <w:rPr>
                <w:sz w:val="24"/>
                <w:szCs w:val="24"/>
              </w:rPr>
              <w:t>SFY</w:t>
            </w:r>
          </w:p>
        </w:tc>
        <w:tc>
          <w:tcPr>
            <w:tcW w:w="1080" w:type="dxa"/>
          </w:tcPr>
          <w:p w14:paraId="69081783" w14:textId="77777777" w:rsidR="006F495F" w:rsidRDefault="006F495F" w:rsidP="00EE1DCA">
            <w:pPr>
              <w:pStyle w:val="NoSpacing"/>
              <w:rPr>
                <w:sz w:val="24"/>
                <w:szCs w:val="24"/>
              </w:rPr>
            </w:pPr>
            <w:r>
              <w:rPr>
                <w:sz w:val="24"/>
                <w:szCs w:val="24"/>
              </w:rPr>
              <w:t>In-Home</w:t>
            </w:r>
          </w:p>
        </w:tc>
        <w:tc>
          <w:tcPr>
            <w:tcW w:w="2340" w:type="dxa"/>
          </w:tcPr>
          <w:p w14:paraId="767ADAD9" w14:textId="77777777" w:rsidR="006F495F" w:rsidRDefault="006F495F" w:rsidP="00EE1DCA">
            <w:pPr>
              <w:pStyle w:val="NoSpacing"/>
              <w:rPr>
                <w:sz w:val="24"/>
                <w:szCs w:val="24"/>
              </w:rPr>
            </w:pPr>
            <w:r>
              <w:rPr>
                <w:sz w:val="24"/>
                <w:szCs w:val="24"/>
              </w:rPr>
              <w:t>Foster Care Cases</w:t>
            </w:r>
          </w:p>
        </w:tc>
      </w:tr>
      <w:tr w:rsidR="006F495F" w14:paraId="222EFC87" w14:textId="77777777" w:rsidTr="00EE1DCA">
        <w:tc>
          <w:tcPr>
            <w:tcW w:w="1075" w:type="dxa"/>
          </w:tcPr>
          <w:p w14:paraId="18E286DE" w14:textId="77777777" w:rsidR="006F495F" w:rsidRDefault="006F495F" w:rsidP="00EE1DCA">
            <w:pPr>
              <w:pStyle w:val="NoSpacing"/>
              <w:rPr>
                <w:sz w:val="24"/>
                <w:szCs w:val="24"/>
              </w:rPr>
            </w:pPr>
            <w:r>
              <w:rPr>
                <w:sz w:val="24"/>
                <w:szCs w:val="24"/>
              </w:rPr>
              <w:t>2011</w:t>
            </w:r>
          </w:p>
        </w:tc>
        <w:tc>
          <w:tcPr>
            <w:tcW w:w="1080" w:type="dxa"/>
          </w:tcPr>
          <w:p w14:paraId="455CB795" w14:textId="77777777" w:rsidR="006F495F" w:rsidRDefault="006F495F" w:rsidP="00EE1DCA">
            <w:pPr>
              <w:pStyle w:val="NoSpacing"/>
              <w:rPr>
                <w:sz w:val="24"/>
                <w:szCs w:val="24"/>
              </w:rPr>
            </w:pPr>
            <w:r>
              <w:rPr>
                <w:sz w:val="24"/>
                <w:szCs w:val="24"/>
              </w:rPr>
              <w:t>55%</w:t>
            </w:r>
          </w:p>
        </w:tc>
        <w:tc>
          <w:tcPr>
            <w:tcW w:w="2340" w:type="dxa"/>
          </w:tcPr>
          <w:p w14:paraId="10FBAD2B" w14:textId="77777777" w:rsidR="006F495F" w:rsidRDefault="006F495F" w:rsidP="00EE1DCA">
            <w:pPr>
              <w:pStyle w:val="NoSpacing"/>
              <w:rPr>
                <w:sz w:val="24"/>
                <w:szCs w:val="24"/>
              </w:rPr>
            </w:pPr>
            <w:r>
              <w:rPr>
                <w:sz w:val="24"/>
                <w:szCs w:val="24"/>
              </w:rPr>
              <w:t>59%</w:t>
            </w:r>
          </w:p>
        </w:tc>
      </w:tr>
      <w:tr w:rsidR="006F495F" w14:paraId="0D5C255D" w14:textId="77777777" w:rsidTr="00EE1DCA">
        <w:tc>
          <w:tcPr>
            <w:tcW w:w="1075" w:type="dxa"/>
          </w:tcPr>
          <w:p w14:paraId="7F9A7977" w14:textId="77777777" w:rsidR="006F495F" w:rsidRDefault="006F495F" w:rsidP="00EE1DCA">
            <w:pPr>
              <w:pStyle w:val="NoSpacing"/>
              <w:rPr>
                <w:sz w:val="24"/>
                <w:szCs w:val="24"/>
              </w:rPr>
            </w:pPr>
            <w:r>
              <w:rPr>
                <w:sz w:val="24"/>
                <w:szCs w:val="24"/>
              </w:rPr>
              <w:t>2012</w:t>
            </w:r>
          </w:p>
        </w:tc>
        <w:tc>
          <w:tcPr>
            <w:tcW w:w="1080" w:type="dxa"/>
          </w:tcPr>
          <w:p w14:paraId="6432D3CC" w14:textId="77777777" w:rsidR="006F495F" w:rsidRDefault="006F495F" w:rsidP="00EE1DCA">
            <w:pPr>
              <w:pStyle w:val="NoSpacing"/>
              <w:rPr>
                <w:sz w:val="24"/>
                <w:szCs w:val="24"/>
              </w:rPr>
            </w:pPr>
            <w:r>
              <w:rPr>
                <w:sz w:val="24"/>
                <w:szCs w:val="24"/>
              </w:rPr>
              <w:t>55%</w:t>
            </w:r>
          </w:p>
        </w:tc>
        <w:tc>
          <w:tcPr>
            <w:tcW w:w="2340" w:type="dxa"/>
          </w:tcPr>
          <w:p w14:paraId="0CF425D5" w14:textId="77777777" w:rsidR="006F495F" w:rsidRDefault="006F495F" w:rsidP="00EE1DCA">
            <w:pPr>
              <w:pStyle w:val="NoSpacing"/>
              <w:rPr>
                <w:sz w:val="24"/>
                <w:szCs w:val="24"/>
              </w:rPr>
            </w:pPr>
            <w:r>
              <w:rPr>
                <w:sz w:val="24"/>
                <w:szCs w:val="24"/>
              </w:rPr>
              <w:t>60%</w:t>
            </w:r>
          </w:p>
        </w:tc>
      </w:tr>
      <w:tr w:rsidR="006F495F" w14:paraId="720FD064" w14:textId="77777777" w:rsidTr="00EE1DCA">
        <w:tc>
          <w:tcPr>
            <w:tcW w:w="1075" w:type="dxa"/>
          </w:tcPr>
          <w:p w14:paraId="2312111E" w14:textId="77777777" w:rsidR="006F495F" w:rsidRDefault="006F495F" w:rsidP="00EE1DCA">
            <w:pPr>
              <w:pStyle w:val="NoSpacing"/>
              <w:rPr>
                <w:sz w:val="24"/>
                <w:szCs w:val="24"/>
              </w:rPr>
            </w:pPr>
            <w:r>
              <w:rPr>
                <w:sz w:val="24"/>
                <w:szCs w:val="24"/>
              </w:rPr>
              <w:t>2013</w:t>
            </w:r>
          </w:p>
        </w:tc>
        <w:tc>
          <w:tcPr>
            <w:tcW w:w="1080" w:type="dxa"/>
          </w:tcPr>
          <w:p w14:paraId="07276572" w14:textId="77777777" w:rsidR="006F495F" w:rsidRDefault="006F495F" w:rsidP="00EE1DCA">
            <w:pPr>
              <w:pStyle w:val="NoSpacing"/>
              <w:rPr>
                <w:sz w:val="24"/>
                <w:szCs w:val="24"/>
              </w:rPr>
            </w:pPr>
            <w:r>
              <w:rPr>
                <w:sz w:val="24"/>
                <w:szCs w:val="24"/>
              </w:rPr>
              <w:t>58%</w:t>
            </w:r>
          </w:p>
        </w:tc>
        <w:tc>
          <w:tcPr>
            <w:tcW w:w="2340" w:type="dxa"/>
          </w:tcPr>
          <w:p w14:paraId="0D6B8D13" w14:textId="77777777" w:rsidR="006F495F" w:rsidRDefault="006F495F" w:rsidP="00EE1DCA">
            <w:pPr>
              <w:pStyle w:val="NoSpacing"/>
              <w:rPr>
                <w:sz w:val="24"/>
                <w:szCs w:val="24"/>
              </w:rPr>
            </w:pPr>
            <w:r>
              <w:rPr>
                <w:sz w:val="24"/>
                <w:szCs w:val="24"/>
              </w:rPr>
              <w:t>64%</w:t>
            </w:r>
          </w:p>
        </w:tc>
      </w:tr>
      <w:tr w:rsidR="006F495F" w14:paraId="48E08F06" w14:textId="77777777" w:rsidTr="00EE1DCA">
        <w:tc>
          <w:tcPr>
            <w:tcW w:w="1075" w:type="dxa"/>
          </w:tcPr>
          <w:p w14:paraId="63BA78E6" w14:textId="77777777" w:rsidR="006F495F" w:rsidRDefault="006F495F" w:rsidP="00EE1DCA">
            <w:pPr>
              <w:pStyle w:val="NoSpacing"/>
              <w:rPr>
                <w:sz w:val="24"/>
                <w:szCs w:val="24"/>
              </w:rPr>
            </w:pPr>
            <w:r>
              <w:rPr>
                <w:sz w:val="24"/>
                <w:szCs w:val="24"/>
              </w:rPr>
              <w:t>2014</w:t>
            </w:r>
          </w:p>
        </w:tc>
        <w:tc>
          <w:tcPr>
            <w:tcW w:w="1080" w:type="dxa"/>
          </w:tcPr>
          <w:p w14:paraId="03BCF10A" w14:textId="77777777" w:rsidR="006F495F" w:rsidRDefault="006F495F" w:rsidP="00EE1DCA">
            <w:pPr>
              <w:pStyle w:val="NoSpacing"/>
              <w:rPr>
                <w:sz w:val="24"/>
                <w:szCs w:val="24"/>
              </w:rPr>
            </w:pPr>
            <w:r>
              <w:rPr>
                <w:sz w:val="24"/>
                <w:szCs w:val="24"/>
              </w:rPr>
              <w:t>60%</w:t>
            </w:r>
          </w:p>
        </w:tc>
        <w:tc>
          <w:tcPr>
            <w:tcW w:w="2340" w:type="dxa"/>
          </w:tcPr>
          <w:p w14:paraId="0277CC2D" w14:textId="77777777" w:rsidR="006F495F" w:rsidRDefault="006F495F" w:rsidP="00EE1DCA">
            <w:pPr>
              <w:pStyle w:val="NoSpacing"/>
              <w:rPr>
                <w:sz w:val="24"/>
                <w:szCs w:val="24"/>
              </w:rPr>
            </w:pPr>
            <w:r>
              <w:rPr>
                <w:sz w:val="24"/>
                <w:szCs w:val="24"/>
              </w:rPr>
              <w:t>73%</w:t>
            </w:r>
          </w:p>
        </w:tc>
      </w:tr>
      <w:tr w:rsidR="006F495F" w14:paraId="0D166F4D" w14:textId="77777777" w:rsidTr="00EE1DCA">
        <w:tc>
          <w:tcPr>
            <w:tcW w:w="1075" w:type="dxa"/>
          </w:tcPr>
          <w:p w14:paraId="69DBA741" w14:textId="77777777" w:rsidR="006F495F" w:rsidRDefault="006F495F" w:rsidP="00EE1DCA">
            <w:pPr>
              <w:pStyle w:val="NoSpacing"/>
              <w:rPr>
                <w:sz w:val="24"/>
                <w:szCs w:val="24"/>
              </w:rPr>
            </w:pPr>
            <w:r>
              <w:rPr>
                <w:sz w:val="24"/>
                <w:szCs w:val="24"/>
              </w:rPr>
              <w:t>2015</w:t>
            </w:r>
          </w:p>
        </w:tc>
        <w:tc>
          <w:tcPr>
            <w:tcW w:w="1080" w:type="dxa"/>
          </w:tcPr>
          <w:p w14:paraId="2AAC63CC" w14:textId="77777777" w:rsidR="006F495F" w:rsidRDefault="006F495F" w:rsidP="00EE1DCA">
            <w:pPr>
              <w:pStyle w:val="NoSpacing"/>
              <w:rPr>
                <w:sz w:val="24"/>
                <w:szCs w:val="24"/>
              </w:rPr>
            </w:pPr>
            <w:r>
              <w:rPr>
                <w:sz w:val="24"/>
                <w:szCs w:val="24"/>
              </w:rPr>
              <w:t>66%</w:t>
            </w:r>
          </w:p>
        </w:tc>
        <w:tc>
          <w:tcPr>
            <w:tcW w:w="2340" w:type="dxa"/>
          </w:tcPr>
          <w:p w14:paraId="327D5443" w14:textId="77777777" w:rsidR="006F495F" w:rsidRDefault="006F495F" w:rsidP="00EE1DCA">
            <w:pPr>
              <w:pStyle w:val="NoSpacing"/>
              <w:rPr>
                <w:sz w:val="24"/>
                <w:szCs w:val="24"/>
              </w:rPr>
            </w:pPr>
            <w:r>
              <w:rPr>
                <w:sz w:val="24"/>
                <w:szCs w:val="24"/>
              </w:rPr>
              <w:t>76%</w:t>
            </w:r>
          </w:p>
        </w:tc>
      </w:tr>
    </w:tbl>
    <w:p w14:paraId="30B89219" w14:textId="77777777" w:rsidR="006F495F" w:rsidRDefault="006F495F" w:rsidP="006F495F">
      <w:pPr>
        <w:pStyle w:val="NoSpacing"/>
        <w:rPr>
          <w:sz w:val="24"/>
          <w:szCs w:val="24"/>
        </w:rPr>
      </w:pPr>
      <w:r>
        <w:rPr>
          <w:sz w:val="24"/>
          <w:szCs w:val="24"/>
        </w:rPr>
        <w:t>*2015 reflects the end of the 2</w:t>
      </w:r>
      <w:r w:rsidRPr="00F25961">
        <w:rPr>
          <w:sz w:val="24"/>
          <w:szCs w:val="24"/>
          <w:vertAlign w:val="superscript"/>
        </w:rPr>
        <w:t>nd</w:t>
      </w:r>
      <w:r>
        <w:rPr>
          <w:sz w:val="24"/>
          <w:szCs w:val="24"/>
        </w:rPr>
        <w:t xml:space="preserve"> Qtr of SFY 2015.</w:t>
      </w:r>
    </w:p>
    <w:p w14:paraId="5C998B11" w14:textId="77777777" w:rsidR="00F821CD" w:rsidRDefault="00F821CD" w:rsidP="006F495F">
      <w:pPr>
        <w:pStyle w:val="NoSpacing"/>
        <w:rPr>
          <w:sz w:val="24"/>
          <w:szCs w:val="24"/>
        </w:rPr>
      </w:pPr>
    </w:p>
    <w:p w14:paraId="0978E5EB" w14:textId="47C25EDB" w:rsidR="00F821CD" w:rsidRDefault="00F821CD" w:rsidP="006F495F">
      <w:pPr>
        <w:pStyle w:val="NoSpacing"/>
        <w:rPr>
          <w:sz w:val="24"/>
          <w:szCs w:val="24"/>
        </w:rPr>
      </w:pPr>
      <w:r>
        <w:rPr>
          <w:sz w:val="24"/>
          <w:szCs w:val="24"/>
        </w:rPr>
        <w:t xml:space="preserve">Largely as a result of high caseloads and placement of children in distant counties, DCFS has difficulty in making monthly caseworker visits.  </w:t>
      </w:r>
      <w:r w:rsidR="002570E6">
        <w:rPr>
          <w:sz w:val="24"/>
          <w:szCs w:val="24"/>
        </w:rPr>
        <w:t xml:space="preserve">However DCFS visit frequency has improved over the past 5 years.  </w:t>
      </w:r>
      <w:r>
        <w:rPr>
          <w:sz w:val="24"/>
          <w:szCs w:val="24"/>
        </w:rPr>
        <w:t xml:space="preserve">Given caseload constraints, it is commendable that DCFS is able to show improvement in completing monthly contacts.  </w:t>
      </w:r>
      <w:r w:rsidR="002570E6">
        <w:rPr>
          <w:sz w:val="24"/>
          <w:szCs w:val="24"/>
        </w:rPr>
        <w:t xml:space="preserve">However, further progress is needed.  </w:t>
      </w:r>
      <w:r>
        <w:rPr>
          <w:sz w:val="24"/>
          <w:szCs w:val="24"/>
        </w:rPr>
        <w:t xml:space="preserve">If visits by other DCFS staff, such as program assistants and </w:t>
      </w:r>
      <w:r w:rsidR="002570E6">
        <w:rPr>
          <w:sz w:val="24"/>
          <w:szCs w:val="24"/>
        </w:rPr>
        <w:t xml:space="preserve">other </w:t>
      </w:r>
      <w:r>
        <w:rPr>
          <w:sz w:val="24"/>
          <w:szCs w:val="24"/>
        </w:rPr>
        <w:t>support staff are counted, performance is higher.</w:t>
      </w:r>
    </w:p>
    <w:p w14:paraId="35F9CA4F" w14:textId="77777777" w:rsidR="006F495F" w:rsidRDefault="006F495F" w:rsidP="007E28E9">
      <w:pPr>
        <w:pStyle w:val="NoSpacing"/>
        <w:rPr>
          <w:sz w:val="24"/>
          <w:szCs w:val="24"/>
        </w:rPr>
      </w:pPr>
    </w:p>
    <w:p w14:paraId="4AD303B4" w14:textId="3CB0B9B3" w:rsidR="000B53E7" w:rsidRDefault="00847CE2" w:rsidP="003344D8">
      <w:pPr>
        <w:pStyle w:val="NoSpacing"/>
        <w:numPr>
          <w:ilvl w:val="0"/>
          <w:numId w:val="8"/>
        </w:numPr>
        <w:rPr>
          <w:b/>
          <w:sz w:val="28"/>
          <w:szCs w:val="28"/>
        </w:rPr>
      </w:pPr>
      <w:r>
        <w:rPr>
          <w:b/>
          <w:sz w:val="28"/>
          <w:szCs w:val="28"/>
        </w:rPr>
        <w:t>Adoption</w:t>
      </w:r>
    </w:p>
    <w:p w14:paraId="387DE06B" w14:textId="77777777" w:rsidR="00F821CD" w:rsidRDefault="00F821CD" w:rsidP="006F495F">
      <w:pPr>
        <w:pStyle w:val="NoSpacing"/>
        <w:rPr>
          <w:b/>
          <w:i/>
          <w:sz w:val="24"/>
          <w:szCs w:val="24"/>
        </w:rPr>
      </w:pPr>
    </w:p>
    <w:p w14:paraId="315B6B59" w14:textId="77777777" w:rsidR="006F495F" w:rsidRPr="00531AD2" w:rsidRDefault="006F495F" w:rsidP="006F495F">
      <w:pPr>
        <w:pStyle w:val="NoSpacing"/>
        <w:rPr>
          <w:b/>
          <w:i/>
          <w:sz w:val="24"/>
          <w:szCs w:val="24"/>
        </w:rPr>
      </w:pPr>
      <w:r w:rsidRPr="005D1BB3">
        <w:rPr>
          <w:b/>
          <w:i/>
          <w:sz w:val="24"/>
          <w:szCs w:val="24"/>
        </w:rPr>
        <w:t>Time to Adoption</w:t>
      </w:r>
    </w:p>
    <w:p w14:paraId="1B320CED" w14:textId="77777777" w:rsidR="006F495F" w:rsidRPr="005D1BB3" w:rsidRDefault="006F495F" w:rsidP="006F495F">
      <w:pPr>
        <w:pStyle w:val="NoSpacing"/>
        <w:rPr>
          <w:sz w:val="24"/>
          <w:szCs w:val="24"/>
        </w:rPr>
      </w:pPr>
      <w:r w:rsidRPr="005D1BB3">
        <w:rPr>
          <w:sz w:val="24"/>
          <w:szCs w:val="24"/>
        </w:rPr>
        <w:t xml:space="preserve">2011 </w:t>
      </w:r>
      <w:r>
        <w:rPr>
          <w:sz w:val="24"/>
          <w:szCs w:val="24"/>
        </w:rPr>
        <w:t>–</w:t>
      </w:r>
      <w:r w:rsidRPr="005D1BB3">
        <w:rPr>
          <w:sz w:val="24"/>
          <w:szCs w:val="24"/>
        </w:rPr>
        <w:t xml:space="preserve"> 25.</w:t>
      </w:r>
      <w:r>
        <w:rPr>
          <w:sz w:val="24"/>
          <w:szCs w:val="24"/>
        </w:rPr>
        <w:t>4</w:t>
      </w:r>
      <w:r w:rsidRPr="005D1BB3">
        <w:rPr>
          <w:sz w:val="24"/>
          <w:szCs w:val="24"/>
        </w:rPr>
        <w:t xml:space="preserve"> Months</w:t>
      </w:r>
    </w:p>
    <w:p w14:paraId="6A26A089" w14:textId="77777777" w:rsidR="006F495F" w:rsidRPr="005D1BB3" w:rsidRDefault="006F495F" w:rsidP="006F495F">
      <w:pPr>
        <w:pStyle w:val="NoSpacing"/>
        <w:rPr>
          <w:sz w:val="24"/>
          <w:szCs w:val="24"/>
        </w:rPr>
      </w:pPr>
      <w:r w:rsidRPr="005D1BB3">
        <w:rPr>
          <w:sz w:val="24"/>
          <w:szCs w:val="24"/>
        </w:rPr>
        <w:t xml:space="preserve">2012 </w:t>
      </w:r>
      <w:r>
        <w:rPr>
          <w:sz w:val="24"/>
          <w:szCs w:val="24"/>
        </w:rPr>
        <w:t>–</w:t>
      </w:r>
      <w:r w:rsidRPr="005D1BB3">
        <w:rPr>
          <w:sz w:val="24"/>
          <w:szCs w:val="24"/>
        </w:rPr>
        <w:t xml:space="preserve"> 2</w:t>
      </w:r>
      <w:r>
        <w:rPr>
          <w:sz w:val="24"/>
          <w:szCs w:val="24"/>
        </w:rPr>
        <w:t>5</w:t>
      </w:r>
      <w:r w:rsidRPr="005D1BB3">
        <w:rPr>
          <w:sz w:val="24"/>
          <w:szCs w:val="24"/>
        </w:rPr>
        <w:t>.4 Months</w:t>
      </w:r>
    </w:p>
    <w:p w14:paraId="66E989B3" w14:textId="77777777" w:rsidR="006F495F" w:rsidRDefault="006F495F" w:rsidP="006F495F">
      <w:pPr>
        <w:pStyle w:val="NoSpacing"/>
        <w:rPr>
          <w:sz w:val="24"/>
          <w:szCs w:val="24"/>
        </w:rPr>
      </w:pPr>
      <w:r w:rsidRPr="005D1BB3">
        <w:rPr>
          <w:sz w:val="24"/>
          <w:szCs w:val="24"/>
        </w:rPr>
        <w:t xml:space="preserve">2013 </w:t>
      </w:r>
      <w:r>
        <w:rPr>
          <w:sz w:val="24"/>
          <w:szCs w:val="24"/>
        </w:rPr>
        <w:t>–</w:t>
      </w:r>
      <w:r w:rsidRPr="005D1BB3">
        <w:rPr>
          <w:sz w:val="24"/>
          <w:szCs w:val="24"/>
        </w:rPr>
        <w:t xml:space="preserve"> 2</w:t>
      </w:r>
      <w:r>
        <w:rPr>
          <w:sz w:val="24"/>
          <w:szCs w:val="24"/>
        </w:rPr>
        <w:t>4</w:t>
      </w:r>
      <w:r w:rsidRPr="005D1BB3">
        <w:rPr>
          <w:sz w:val="24"/>
          <w:szCs w:val="24"/>
        </w:rPr>
        <w:t>.4 Months</w:t>
      </w:r>
    </w:p>
    <w:p w14:paraId="28548161" w14:textId="77777777" w:rsidR="006F495F" w:rsidRDefault="006F495F" w:rsidP="006F495F">
      <w:pPr>
        <w:pStyle w:val="NoSpacing"/>
        <w:rPr>
          <w:sz w:val="24"/>
          <w:szCs w:val="24"/>
        </w:rPr>
      </w:pPr>
      <w:r>
        <w:rPr>
          <w:sz w:val="24"/>
          <w:szCs w:val="24"/>
        </w:rPr>
        <w:t>2014 – 22.1 Months</w:t>
      </w:r>
    </w:p>
    <w:p w14:paraId="4CF4288D" w14:textId="77777777" w:rsidR="006F495F" w:rsidRDefault="006F495F" w:rsidP="006F495F">
      <w:pPr>
        <w:pStyle w:val="NoSpacing"/>
        <w:rPr>
          <w:sz w:val="24"/>
          <w:szCs w:val="24"/>
        </w:rPr>
      </w:pPr>
      <w:r>
        <w:rPr>
          <w:sz w:val="24"/>
          <w:szCs w:val="24"/>
        </w:rPr>
        <w:t>2015 – 22.6 Months (end of 2</w:t>
      </w:r>
      <w:r w:rsidRPr="00A2330D">
        <w:rPr>
          <w:sz w:val="24"/>
          <w:szCs w:val="24"/>
          <w:vertAlign w:val="superscript"/>
        </w:rPr>
        <w:t>nd</w:t>
      </w:r>
      <w:r>
        <w:rPr>
          <w:sz w:val="24"/>
          <w:szCs w:val="24"/>
        </w:rPr>
        <w:t xml:space="preserve"> Qtr.)</w:t>
      </w:r>
    </w:p>
    <w:p w14:paraId="4DC4798C" w14:textId="77777777" w:rsidR="006F495F" w:rsidRDefault="006F495F" w:rsidP="006F495F">
      <w:pPr>
        <w:pStyle w:val="NoSpacing"/>
        <w:rPr>
          <w:sz w:val="24"/>
          <w:szCs w:val="24"/>
        </w:rPr>
      </w:pPr>
    </w:p>
    <w:p w14:paraId="1C47FAEA" w14:textId="7341C6B6" w:rsidR="00DF6034" w:rsidRDefault="00DF6034" w:rsidP="006F495F">
      <w:pPr>
        <w:pStyle w:val="NoSpacing"/>
        <w:rPr>
          <w:sz w:val="24"/>
          <w:szCs w:val="24"/>
        </w:rPr>
      </w:pPr>
      <w:r>
        <w:rPr>
          <w:sz w:val="24"/>
          <w:szCs w:val="24"/>
        </w:rPr>
        <w:t>The data show that time to adoption has declined in the past two years.</w:t>
      </w:r>
    </w:p>
    <w:p w14:paraId="7A8B02EA" w14:textId="77777777" w:rsidR="007C07B9" w:rsidRPr="005D1BB3" w:rsidRDefault="007C07B9" w:rsidP="006F495F">
      <w:pPr>
        <w:pStyle w:val="NoSpacing"/>
        <w:rPr>
          <w:sz w:val="24"/>
          <w:szCs w:val="24"/>
        </w:rPr>
      </w:pPr>
    </w:p>
    <w:p w14:paraId="0577BEEA" w14:textId="77777777" w:rsidR="006F495F" w:rsidRPr="005D1BB3" w:rsidRDefault="006F495F" w:rsidP="006F495F">
      <w:pPr>
        <w:pStyle w:val="NoSpacing"/>
        <w:rPr>
          <w:sz w:val="24"/>
          <w:szCs w:val="24"/>
        </w:rPr>
      </w:pPr>
    </w:p>
    <w:p w14:paraId="5DE3BC52" w14:textId="77777777" w:rsidR="006F495F" w:rsidRPr="005D1BB3" w:rsidRDefault="006F495F" w:rsidP="006F495F">
      <w:pPr>
        <w:pStyle w:val="NoSpacing"/>
        <w:rPr>
          <w:b/>
          <w:i/>
          <w:sz w:val="24"/>
          <w:szCs w:val="24"/>
        </w:rPr>
      </w:pPr>
      <w:r w:rsidRPr="005D1BB3">
        <w:rPr>
          <w:b/>
          <w:i/>
          <w:sz w:val="24"/>
          <w:szCs w:val="24"/>
        </w:rPr>
        <w:t>Annual Adoption Placements</w:t>
      </w:r>
    </w:p>
    <w:p w14:paraId="04BC812A" w14:textId="77777777" w:rsidR="006F495F" w:rsidRPr="005D1BB3" w:rsidRDefault="006F495F" w:rsidP="006F495F">
      <w:pPr>
        <w:pStyle w:val="NoSpacing"/>
        <w:rPr>
          <w:b/>
          <w:sz w:val="28"/>
          <w:szCs w:val="28"/>
        </w:rPr>
      </w:pPr>
    </w:p>
    <w:tbl>
      <w:tblPr>
        <w:tblW w:w="3298" w:type="dxa"/>
        <w:tblInd w:w="93" w:type="dxa"/>
        <w:tblLook w:val="04A0" w:firstRow="1" w:lastRow="0" w:firstColumn="1" w:lastColumn="0" w:noHBand="0" w:noVBand="1"/>
      </w:tblPr>
      <w:tblGrid>
        <w:gridCol w:w="735"/>
        <w:gridCol w:w="1350"/>
        <w:gridCol w:w="1213"/>
      </w:tblGrid>
      <w:tr w:rsidR="006F495F" w:rsidRPr="00A2330D" w14:paraId="66ADD9B2" w14:textId="77777777" w:rsidTr="00EE1DCA">
        <w:trPr>
          <w:trHeight w:val="480"/>
        </w:trPr>
        <w:tc>
          <w:tcPr>
            <w:tcW w:w="3298" w:type="dxa"/>
            <w:gridSpan w:val="3"/>
            <w:tcBorders>
              <w:top w:val="single" w:sz="8" w:space="0" w:color="auto"/>
              <w:left w:val="single" w:sz="8" w:space="0" w:color="auto"/>
              <w:bottom w:val="single" w:sz="4" w:space="0" w:color="FFFFFF"/>
              <w:right w:val="single" w:sz="8" w:space="0" w:color="000000"/>
            </w:tcBorders>
            <w:shd w:val="clear" w:color="000000" w:fill="000000"/>
            <w:noWrap/>
            <w:vAlign w:val="center"/>
            <w:hideMark/>
          </w:tcPr>
          <w:p w14:paraId="4EB3E6E6" w14:textId="77777777" w:rsidR="006F495F" w:rsidRPr="00A2330D" w:rsidRDefault="006F495F" w:rsidP="00EE1DCA">
            <w:pPr>
              <w:spacing w:after="0" w:line="240" w:lineRule="auto"/>
              <w:jc w:val="center"/>
              <w:rPr>
                <w:rFonts w:ascii="Calibri" w:eastAsia="Times New Roman" w:hAnsi="Calibri" w:cs="Times New Roman"/>
                <w:b/>
                <w:bCs/>
                <w:color w:val="FFFFFF"/>
                <w:sz w:val="24"/>
                <w:szCs w:val="24"/>
              </w:rPr>
            </w:pPr>
            <w:r w:rsidRPr="00A2330D">
              <w:rPr>
                <w:rFonts w:ascii="Calibri" w:eastAsia="Times New Roman" w:hAnsi="Calibri" w:cs="Times New Roman"/>
                <w:b/>
                <w:bCs/>
                <w:color w:val="FFFFFF"/>
                <w:sz w:val="24"/>
                <w:szCs w:val="24"/>
              </w:rPr>
              <w:t>Annual Adoption Placements</w:t>
            </w:r>
          </w:p>
        </w:tc>
      </w:tr>
      <w:tr w:rsidR="006F495F" w:rsidRPr="00A2330D" w14:paraId="0889631D" w14:textId="77777777" w:rsidTr="00EE1DCA">
        <w:trPr>
          <w:trHeight w:val="630"/>
        </w:trPr>
        <w:tc>
          <w:tcPr>
            <w:tcW w:w="735" w:type="dxa"/>
            <w:vMerge w:val="restart"/>
            <w:tcBorders>
              <w:top w:val="nil"/>
              <w:left w:val="single" w:sz="8" w:space="0" w:color="auto"/>
              <w:bottom w:val="single" w:sz="4" w:space="0" w:color="000000"/>
              <w:right w:val="single" w:sz="4" w:space="0" w:color="FFFFFF"/>
            </w:tcBorders>
            <w:shd w:val="clear" w:color="000000" w:fill="000000"/>
            <w:noWrap/>
            <w:vAlign w:val="center"/>
            <w:hideMark/>
          </w:tcPr>
          <w:p w14:paraId="36858131" w14:textId="77777777" w:rsidR="006F495F" w:rsidRPr="00A2330D" w:rsidRDefault="006F495F" w:rsidP="00EE1DCA">
            <w:pPr>
              <w:spacing w:after="0" w:line="240" w:lineRule="auto"/>
              <w:jc w:val="center"/>
              <w:rPr>
                <w:rFonts w:ascii="Calibri" w:eastAsia="Times New Roman" w:hAnsi="Calibri" w:cs="Times New Roman"/>
                <w:b/>
                <w:bCs/>
                <w:color w:val="FFFFFF"/>
              </w:rPr>
            </w:pPr>
            <w:r w:rsidRPr="00A2330D">
              <w:rPr>
                <w:rFonts w:ascii="Calibri" w:eastAsia="Times New Roman" w:hAnsi="Calibri" w:cs="Times New Roman"/>
                <w:b/>
                <w:bCs/>
                <w:color w:val="FFFFFF"/>
              </w:rPr>
              <w:t>Year</w:t>
            </w:r>
          </w:p>
        </w:tc>
        <w:tc>
          <w:tcPr>
            <w:tcW w:w="1350" w:type="dxa"/>
            <w:vMerge w:val="restart"/>
            <w:tcBorders>
              <w:top w:val="nil"/>
              <w:left w:val="single" w:sz="4" w:space="0" w:color="FFFFFF"/>
              <w:bottom w:val="single" w:sz="4" w:space="0" w:color="auto"/>
              <w:right w:val="single" w:sz="4" w:space="0" w:color="FFFFFF"/>
            </w:tcBorders>
            <w:shd w:val="clear" w:color="000000" w:fill="000000"/>
            <w:vAlign w:val="center"/>
            <w:hideMark/>
          </w:tcPr>
          <w:p w14:paraId="3ABA147C" w14:textId="77777777" w:rsidR="006F495F" w:rsidRPr="00A2330D" w:rsidRDefault="006F495F" w:rsidP="00EE1DCA">
            <w:pPr>
              <w:spacing w:after="0" w:line="240" w:lineRule="auto"/>
              <w:jc w:val="center"/>
              <w:rPr>
                <w:rFonts w:ascii="Calibri" w:eastAsia="Times New Roman" w:hAnsi="Calibri" w:cs="Times New Roman"/>
                <w:b/>
                <w:bCs/>
                <w:color w:val="FFFFFF"/>
              </w:rPr>
            </w:pPr>
            <w:r w:rsidRPr="00A2330D">
              <w:rPr>
                <w:rFonts w:ascii="Calibri" w:eastAsia="Times New Roman" w:hAnsi="Calibri" w:cs="Times New Roman"/>
                <w:b/>
                <w:bCs/>
                <w:color w:val="FFFFFF"/>
              </w:rPr>
              <w:t>Legally Free Children</w:t>
            </w:r>
          </w:p>
        </w:tc>
        <w:tc>
          <w:tcPr>
            <w:tcW w:w="1213" w:type="dxa"/>
            <w:vMerge w:val="restart"/>
            <w:tcBorders>
              <w:top w:val="nil"/>
              <w:left w:val="nil"/>
              <w:bottom w:val="single" w:sz="4" w:space="0" w:color="auto"/>
              <w:right w:val="single" w:sz="8" w:space="0" w:color="auto"/>
            </w:tcBorders>
            <w:shd w:val="clear" w:color="000000" w:fill="000000"/>
            <w:vAlign w:val="center"/>
            <w:hideMark/>
          </w:tcPr>
          <w:p w14:paraId="0FB0B12A" w14:textId="77777777" w:rsidR="006F495F" w:rsidRPr="00A2330D" w:rsidRDefault="006F495F" w:rsidP="00EE1DCA">
            <w:pPr>
              <w:spacing w:after="0" w:line="240" w:lineRule="auto"/>
              <w:jc w:val="center"/>
              <w:rPr>
                <w:rFonts w:ascii="Calibri" w:eastAsia="Times New Roman" w:hAnsi="Calibri" w:cs="Times New Roman"/>
                <w:b/>
                <w:bCs/>
                <w:color w:val="FFFFFF"/>
              </w:rPr>
            </w:pPr>
            <w:r w:rsidRPr="00A2330D">
              <w:rPr>
                <w:rFonts w:ascii="Calibri" w:eastAsia="Times New Roman" w:hAnsi="Calibri" w:cs="Times New Roman"/>
                <w:b/>
                <w:bCs/>
                <w:color w:val="FFFFFF"/>
              </w:rPr>
              <w:t>Finalized Adoptions</w:t>
            </w:r>
          </w:p>
        </w:tc>
      </w:tr>
      <w:tr w:rsidR="006F495F" w:rsidRPr="00A2330D" w14:paraId="5F6A424F" w14:textId="77777777" w:rsidTr="00EE1DCA">
        <w:trPr>
          <w:trHeight w:val="300"/>
        </w:trPr>
        <w:tc>
          <w:tcPr>
            <w:tcW w:w="735" w:type="dxa"/>
            <w:vMerge/>
            <w:tcBorders>
              <w:top w:val="nil"/>
              <w:left w:val="single" w:sz="8" w:space="0" w:color="auto"/>
              <w:bottom w:val="single" w:sz="4" w:space="0" w:color="000000"/>
              <w:right w:val="single" w:sz="4" w:space="0" w:color="FFFFFF"/>
            </w:tcBorders>
            <w:vAlign w:val="center"/>
            <w:hideMark/>
          </w:tcPr>
          <w:p w14:paraId="19AC149F" w14:textId="77777777" w:rsidR="006F495F" w:rsidRPr="00A2330D" w:rsidRDefault="006F495F" w:rsidP="00EE1DCA">
            <w:pPr>
              <w:spacing w:after="0" w:line="240" w:lineRule="auto"/>
              <w:rPr>
                <w:rFonts w:ascii="Calibri" w:eastAsia="Times New Roman" w:hAnsi="Calibri" w:cs="Times New Roman"/>
                <w:b/>
                <w:bCs/>
                <w:color w:val="FFFFFF"/>
              </w:rPr>
            </w:pPr>
          </w:p>
        </w:tc>
        <w:tc>
          <w:tcPr>
            <w:tcW w:w="1350" w:type="dxa"/>
            <w:vMerge/>
            <w:tcBorders>
              <w:top w:val="nil"/>
              <w:left w:val="single" w:sz="4" w:space="0" w:color="FFFFFF"/>
              <w:bottom w:val="single" w:sz="4" w:space="0" w:color="auto"/>
              <w:right w:val="single" w:sz="4" w:space="0" w:color="FFFFFF"/>
            </w:tcBorders>
            <w:vAlign w:val="center"/>
            <w:hideMark/>
          </w:tcPr>
          <w:p w14:paraId="799FDD5E" w14:textId="77777777" w:rsidR="006F495F" w:rsidRPr="00A2330D" w:rsidRDefault="006F495F" w:rsidP="00EE1DCA">
            <w:pPr>
              <w:spacing w:after="0" w:line="240" w:lineRule="auto"/>
              <w:rPr>
                <w:rFonts w:ascii="Calibri" w:eastAsia="Times New Roman" w:hAnsi="Calibri" w:cs="Times New Roman"/>
                <w:b/>
                <w:bCs/>
                <w:color w:val="FFFFFF"/>
              </w:rPr>
            </w:pPr>
          </w:p>
        </w:tc>
        <w:tc>
          <w:tcPr>
            <w:tcW w:w="1213" w:type="dxa"/>
            <w:vMerge/>
            <w:tcBorders>
              <w:top w:val="nil"/>
              <w:left w:val="nil"/>
              <w:bottom w:val="single" w:sz="4" w:space="0" w:color="auto"/>
              <w:right w:val="single" w:sz="8" w:space="0" w:color="auto"/>
            </w:tcBorders>
            <w:vAlign w:val="center"/>
            <w:hideMark/>
          </w:tcPr>
          <w:p w14:paraId="04FC558A" w14:textId="77777777" w:rsidR="006F495F" w:rsidRPr="00A2330D" w:rsidRDefault="006F495F" w:rsidP="00EE1DCA">
            <w:pPr>
              <w:spacing w:after="0" w:line="240" w:lineRule="auto"/>
              <w:rPr>
                <w:rFonts w:ascii="Calibri" w:eastAsia="Times New Roman" w:hAnsi="Calibri" w:cs="Times New Roman"/>
                <w:b/>
                <w:bCs/>
                <w:color w:val="FFFFFF"/>
              </w:rPr>
            </w:pPr>
          </w:p>
        </w:tc>
      </w:tr>
      <w:tr w:rsidR="006F495F" w:rsidRPr="00A2330D" w14:paraId="6DDE1694" w14:textId="77777777" w:rsidTr="00EE1DCA">
        <w:trPr>
          <w:trHeight w:val="315"/>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14:paraId="0A7EACDD" w14:textId="77777777" w:rsidR="006F495F" w:rsidRPr="00A2330D" w:rsidRDefault="006F495F" w:rsidP="00EE1DCA">
            <w:pPr>
              <w:spacing w:after="0" w:line="240" w:lineRule="auto"/>
              <w:jc w:val="center"/>
              <w:rPr>
                <w:rFonts w:ascii="Calibri" w:eastAsia="Times New Roman" w:hAnsi="Calibri" w:cs="Times New Roman"/>
                <w:color w:val="000000"/>
              </w:rPr>
            </w:pPr>
            <w:r w:rsidRPr="00A2330D">
              <w:rPr>
                <w:rFonts w:ascii="Calibri" w:eastAsia="Times New Roman" w:hAnsi="Calibri" w:cs="Times New Roman"/>
                <w:color w:val="000000"/>
              </w:rPr>
              <w:t>2011</w:t>
            </w:r>
          </w:p>
        </w:tc>
        <w:tc>
          <w:tcPr>
            <w:tcW w:w="1350" w:type="dxa"/>
            <w:tcBorders>
              <w:top w:val="nil"/>
              <w:left w:val="nil"/>
              <w:bottom w:val="single" w:sz="4" w:space="0" w:color="auto"/>
              <w:right w:val="single" w:sz="4" w:space="0" w:color="auto"/>
            </w:tcBorders>
            <w:shd w:val="clear" w:color="auto" w:fill="auto"/>
            <w:vAlign w:val="center"/>
            <w:hideMark/>
          </w:tcPr>
          <w:p w14:paraId="38BA5DCC" w14:textId="77777777" w:rsidR="006F495F" w:rsidRPr="00A2330D" w:rsidRDefault="006F495F" w:rsidP="00EE1DCA">
            <w:pPr>
              <w:spacing w:after="0" w:line="240" w:lineRule="auto"/>
              <w:jc w:val="center"/>
              <w:rPr>
                <w:rFonts w:ascii="Calibri" w:eastAsia="Times New Roman" w:hAnsi="Calibri" w:cs="Times New Roman"/>
                <w:color w:val="000000"/>
                <w:sz w:val="24"/>
                <w:szCs w:val="24"/>
              </w:rPr>
            </w:pPr>
            <w:r w:rsidRPr="00A2330D">
              <w:rPr>
                <w:rFonts w:ascii="Calibri" w:eastAsia="Times New Roman" w:hAnsi="Calibri" w:cs="Times New Roman"/>
                <w:color w:val="000000"/>
                <w:sz w:val="24"/>
                <w:szCs w:val="24"/>
              </w:rPr>
              <w:t>362</w:t>
            </w:r>
          </w:p>
        </w:tc>
        <w:tc>
          <w:tcPr>
            <w:tcW w:w="1213" w:type="dxa"/>
            <w:tcBorders>
              <w:top w:val="nil"/>
              <w:left w:val="nil"/>
              <w:bottom w:val="single" w:sz="4" w:space="0" w:color="auto"/>
              <w:right w:val="single" w:sz="8" w:space="0" w:color="auto"/>
            </w:tcBorders>
            <w:shd w:val="clear" w:color="auto" w:fill="auto"/>
            <w:noWrap/>
            <w:vAlign w:val="bottom"/>
            <w:hideMark/>
          </w:tcPr>
          <w:p w14:paraId="60AD27D6" w14:textId="77777777" w:rsidR="006F495F" w:rsidRPr="00A2330D" w:rsidRDefault="006F495F" w:rsidP="00EE1DCA">
            <w:pPr>
              <w:spacing w:after="0" w:line="240" w:lineRule="auto"/>
              <w:jc w:val="center"/>
              <w:rPr>
                <w:rFonts w:ascii="Calibri" w:eastAsia="Times New Roman" w:hAnsi="Calibri" w:cs="Times New Roman"/>
                <w:color w:val="000000"/>
              </w:rPr>
            </w:pPr>
            <w:r w:rsidRPr="00A2330D">
              <w:rPr>
                <w:rFonts w:ascii="Calibri" w:eastAsia="Times New Roman" w:hAnsi="Calibri" w:cs="Times New Roman"/>
                <w:color w:val="000000"/>
              </w:rPr>
              <w:t>583</w:t>
            </w:r>
          </w:p>
        </w:tc>
      </w:tr>
      <w:tr w:rsidR="006F495F" w:rsidRPr="00A2330D" w14:paraId="1F6A64FF" w14:textId="77777777" w:rsidTr="00EE1DCA">
        <w:trPr>
          <w:trHeight w:val="300"/>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14:paraId="7C1523CC" w14:textId="77777777" w:rsidR="006F495F" w:rsidRPr="00A2330D" w:rsidRDefault="006F495F" w:rsidP="00EE1DCA">
            <w:pPr>
              <w:spacing w:after="0" w:line="240" w:lineRule="auto"/>
              <w:jc w:val="center"/>
              <w:rPr>
                <w:rFonts w:ascii="Calibri" w:eastAsia="Times New Roman" w:hAnsi="Calibri" w:cs="Times New Roman"/>
                <w:color w:val="000000"/>
              </w:rPr>
            </w:pPr>
            <w:r w:rsidRPr="00A2330D">
              <w:rPr>
                <w:rFonts w:ascii="Calibri" w:eastAsia="Times New Roman" w:hAnsi="Calibri" w:cs="Times New Roman"/>
                <w:color w:val="000000"/>
              </w:rPr>
              <w:t>2012</w:t>
            </w:r>
          </w:p>
        </w:tc>
        <w:tc>
          <w:tcPr>
            <w:tcW w:w="1350" w:type="dxa"/>
            <w:tcBorders>
              <w:top w:val="nil"/>
              <w:left w:val="nil"/>
              <w:bottom w:val="single" w:sz="4" w:space="0" w:color="auto"/>
              <w:right w:val="single" w:sz="4" w:space="0" w:color="auto"/>
            </w:tcBorders>
            <w:shd w:val="clear" w:color="auto" w:fill="auto"/>
            <w:noWrap/>
            <w:vAlign w:val="bottom"/>
            <w:hideMark/>
          </w:tcPr>
          <w:p w14:paraId="520B4903" w14:textId="77777777" w:rsidR="006F495F" w:rsidRPr="00A2330D" w:rsidRDefault="006F495F" w:rsidP="00EE1DCA">
            <w:pPr>
              <w:spacing w:after="0" w:line="240" w:lineRule="auto"/>
              <w:jc w:val="center"/>
              <w:rPr>
                <w:rFonts w:ascii="Calibri" w:eastAsia="Times New Roman" w:hAnsi="Calibri" w:cs="Times New Roman"/>
                <w:color w:val="000000"/>
              </w:rPr>
            </w:pPr>
            <w:r w:rsidRPr="00A2330D">
              <w:rPr>
                <w:rFonts w:ascii="Calibri" w:eastAsia="Times New Roman" w:hAnsi="Calibri" w:cs="Times New Roman"/>
                <w:color w:val="000000"/>
              </w:rPr>
              <w:t>444</w:t>
            </w:r>
          </w:p>
        </w:tc>
        <w:tc>
          <w:tcPr>
            <w:tcW w:w="1213" w:type="dxa"/>
            <w:tcBorders>
              <w:top w:val="nil"/>
              <w:left w:val="nil"/>
              <w:bottom w:val="single" w:sz="4" w:space="0" w:color="auto"/>
              <w:right w:val="single" w:sz="8" w:space="0" w:color="auto"/>
            </w:tcBorders>
            <w:shd w:val="clear" w:color="auto" w:fill="auto"/>
            <w:noWrap/>
            <w:vAlign w:val="bottom"/>
            <w:hideMark/>
          </w:tcPr>
          <w:p w14:paraId="15FCD454" w14:textId="77777777" w:rsidR="006F495F" w:rsidRPr="00A2330D" w:rsidRDefault="006F495F" w:rsidP="00EE1DCA">
            <w:pPr>
              <w:spacing w:after="0" w:line="240" w:lineRule="auto"/>
              <w:jc w:val="center"/>
              <w:rPr>
                <w:rFonts w:ascii="Calibri" w:eastAsia="Times New Roman" w:hAnsi="Calibri" w:cs="Times New Roman"/>
                <w:color w:val="000000"/>
              </w:rPr>
            </w:pPr>
            <w:r w:rsidRPr="00A2330D">
              <w:rPr>
                <w:rFonts w:ascii="Calibri" w:eastAsia="Times New Roman" w:hAnsi="Calibri" w:cs="Times New Roman"/>
                <w:color w:val="000000"/>
              </w:rPr>
              <w:t>674</w:t>
            </w:r>
          </w:p>
        </w:tc>
      </w:tr>
      <w:tr w:rsidR="006F495F" w:rsidRPr="00A2330D" w14:paraId="0D21735A" w14:textId="77777777" w:rsidTr="00EE1DCA">
        <w:trPr>
          <w:trHeight w:val="300"/>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14:paraId="4FB1533E" w14:textId="77777777" w:rsidR="006F495F" w:rsidRPr="00A2330D" w:rsidRDefault="006F495F" w:rsidP="00EE1DCA">
            <w:pPr>
              <w:spacing w:after="0" w:line="240" w:lineRule="auto"/>
              <w:jc w:val="center"/>
              <w:rPr>
                <w:rFonts w:ascii="Calibri" w:eastAsia="Times New Roman" w:hAnsi="Calibri" w:cs="Times New Roman"/>
                <w:color w:val="000000"/>
              </w:rPr>
            </w:pPr>
            <w:r w:rsidRPr="00A2330D">
              <w:rPr>
                <w:rFonts w:ascii="Calibri" w:eastAsia="Times New Roman" w:hAnsi="Calibri" w:cs="Times New Roman"/>
                <w:color w:val="000000"/>
              </w:rPr>
              <w:t>2013</w:t>
            </w:r>
          </w:p>
        </w:tc>
        <w:tc>
          <w:tcPr>
            <w:tcW w:w="1350" w:type="dxa"/>
            <w:tcBorders>
              <w:top w:val="nil"/>
              <w:left w:val="nil"/>
              <w:bottom w:val="single" w:sz="4" w:space="0" w:color="auto"/>
              <w:right w:val="single" w:sz="4" w:space="0" w:color="auto"/>
            </w:tcBorders>
            <w:shd w:val="clear" w:color="auto" w:fill="auto"/>
            <w:noWrap/>
            <w:vAlign w:val="bottom"/>
            <w:hideMark/>
          </w:tcPr>
          <w:p w14:paraId="60D34BBC" w14:textId="77777777" w:rsidR="006F495F" w:rsidRPr="00A2330D" w:rsidRDefault="006F495F" w:rsidP="00EE1DCA">
            <w:pPr>
              <w:spacing w:after="0" w:line="240" w:lineRule="auto"/>
              <w:jc w:val="center"/>
              <w:rPr>
                <w:rFonts w:ascii="Calibri" w:eastAsia="Times New Roman" w:hAnsi="Calibri" w:cs="Times New Roman"/>
                <w:color w:val="000000"/>
              </w:rPr>
            </w:pPr>
            <w:r w:rsidRPr="00A2330D">
              <w:rPr>
                <w:rFonts w:ascii="Calibri" w:eastAsia="Times New Roman" w:hAnsi="Calibri" w:cs="Times New Roman"/>
                <w:color w:val="000000"/>
              </w:rPr>
              <w:t>517</w:t>
            </w:r>
          </w:p>
        </w:tc>
        <w:tc>
          <w:tcPr>
            <w:tcW w:w="1213" w:type="dxa"/>
            <w:tcBorders>
              <w:top w:val="nil"/>
              <w:left w:val="nil"/>
              <w:bottom w:val="single" w:sz="4" w:space="0" w:color="auto"/>
              <w:right w:val="single" w:sz="8" w:space="0" w:color="auto"/>
            </w:tcBorders>
            <w:shd w:val="clear" w:color="auto" w:fill="auto"/>
            <w:noWrap/>
            <w:vAlign w:val="bottom"/>
            <w:hideMark/>
          </w:tcPr>
          <w:p w14:paraId="250D5FD0" w14:textId="77777777" w:rsidR="006F495F" w:rsidRPr="00A2330D" w:rsidRDefault="006F495F" w:rsidP="00EE1DCA">
            <w:pPr>
              <w:spacing w:after="0" w:line="240" w:lineRule="auto"/>
              <w:jc w:val="center"/>
              <w:rPr>
                <w:rFonts w:ascii="Calibri" w:eastAsia="Times New Roman" w:hAnsi="Calibri" w:cs="Times New Roman"/>
                <w:color w:val="000000"/>
              </w:rPr>
            </w:pPr>
            <w:r w:rsidRPr="00A2330D">
              <w:rPr>
                <w:rFonts w:ascii="Calibri" w:eastAsia="Times New Roman" w:hAnsi="Calibri" w:cs="Times New Roman"/>
                <w:color w:val="000000"/>
              </w:rPr>
              <w:t>677</w:t>
            </w:r>
          </w:p>
        </w:tc>
      </w:tr>
      <w:tr w:rsidR="006F495F" w:rsidRPr="00A2330D" w14:paraId="7869B519" w14:textId="77777777" w:rsidTr="00EE1DCA">
        <w:trPr>
          <w:trHeight w:val="300"/>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14:paraId="5752ED6E" w14:textId="77777777" w:rsidR="006F495F" w:rsidRPr="00A2330D" w:rsidRDefault="006F495F" w:rsidP="00EE1DCA">
            <w:pPr>
              <w:spacing w:after="0" w:line="240" w:lineRule="auto"/>
              <w:jc w:val="center"/>
              <w:rPr>
                <w:rFonts w:ascii="Calibri" w:eastAsia="Times New Roman" w:hAnsi="Calibri" w:cs="Times New Roman"/>
                <w:color w:val="000000"/>
              </w:rPr>
            </w:pPr>
            <w:r w:rsidRPr="00A2330D">
              <w:rPr>
                <w:rFonts w:ascii="Calibri" w:eastAsia="Times New Roman" w:hAnsi="Calibri" w:cs="Times New Roman"/>
                <w:color w:val="000000"/>
              </w:rPr>
              <w:t>2014</w:t>
            </w:r>
          </w:p>
        </w:tc>
        <w:tc>
          <w:tcPr>
            <w:tcW w:w="1350" w:type="dxa"/>
            <w:tcBorders>
              <w:top w:val="nil"/>
              <w:left w:val="nil"/>
              <w:bottom w:val="single" w:sz="4" w:space="0" w:color="auto"/>
              <w:right w:val="single" w:sz="4" w:space="0" w:color="auto"/>
            </w:tcBorders>
            <w:shd w:val="clear" w:color="auto" w:fill="auto"/>
            <w:noWrap/>
            <w:vAlign w:val="bottom"/>
            <w:hideMark/>
          </w:tcPr>
          <w:p w14:paraId="236B7578" w14:textId="77777777" w:rsidR="006F495F" w:rsidRPr="00A2330D" w:rsidRDefault="006F495F" w:rsidP="00EE1DCA">
            <w:pPr>
              <w:spacing w:after="0" w:line="240" w:lineRule="auto"/>
              <w:jc w:val="center"/>
              <w:rPr>
                <w:rFonts w:ascii="Calibri" w:eastAsia="Times New Roman" w:hAnsi="Calibri" w:cs="Times New Roman"/>
                <w:color w:val="000000"/>
              </w:rPr>
            </w:pPr>
            <w:r w:rsidRPr="00A2330D">
              <w:rPr>
                <w:rFonts w:ascii="Calibri" w:eastAsia="Times New Roman" w:hAnsi="Calibri" w:cs="Times New Roman"/>
                <w:color w:val="000000"/>
              </w:rPr>
              <w:t>587</w:t>
            </w:r>
          </w:p>
        </w:tc>
        <w:tc>
          <w:tcPr>
            <w:tcW w:w="1213" w:type="dxa"/>
            <w:tcBorders>
              <w:top w:val="nil"/>
              <w:left w:val="nil"/>
              <w:bottom w:val="single" w:sz="4" w:space="0" w:color="auto"/>
              <w:right w:val="single" w:sz="8" w:space="0" w:color="auto"/>
            </w:tcBorders>
            <w:shd w:val="clear" w:color="auto" w:fill="auto"/>
            <w:noWrap/>
            <w:vAlign w:val="bottom"/>
            <w:hideMark/>
          </w:tcPr>
          <w:p w14:paraId="6C8654A2" w14:textId="77777777" w:rsidR="006F495F" w:rsidRPr="00A2330D" w:rsidRDefault="006F495F" w:rsidP="00EE1DCA">
            <w:pPr>
              <w:spacing w:after="0" w:line="240" w:lineRule="auto"/>
              <w:jc w:val="center"/>
              <w:rPr>
                <w:rFonts w:ascii="Calibri" w:eastAsia="Times New Roman" w:hAnsi="Calibri" w:cs="Times New Roman"/>
                <w:color w:val="000000"/>
              </w:rPr>
            </w:pPr>
            <w:r w:rsidRPr="00A2330D">
              <w:rPr>
                <w:rFonts w:ascii="Calibri" w:eastAsia="Times New Roman" w:hAnsi="Calibri" w:cs="Times New Roman"/>
                <w:color w:val="000000"/>
              </w:rPr>
              <w:t>724</w:t>
            </w:r>
          </w:p>
        </w:tc>
      </w:tr>
      <w:tr w:rsidR="006F495F" w:rsidRPr="00A2330D" w14:paraId="16EE4250" w14:textId="77777777" w:rsidTr="00F821CD">
        <w:trPr>
          <w:trHeight w:val="315"/>
        </w:trPr>
        <w:tc>
          <w:tcPr>
            <w:tcW w:w="735" w:type="dxa"/>
            <w:tcBorders>
              <w:top w:val="nil"/>
              <w:left w:val="single" w:sz="8" w:space="0" w:color="auto"/>
              <w:bottom w:val="nil"/>
              <w:right w:val="single" w:sz="4" w:space="0" w:color="auto"/>
            </w:tcBorders>
            <w:shd w:val="clear" w:color="auto" w:fill="auto"/>
            <w:noWrap/>
            <w:vAlign w:val="bottom"/>
            <w:hideMark/>
          </w:tcPr>
          <w:p w14:paraId="0A556FCE" w14:textId="77777777" w:rsidR="006F495F" w:rsidRPr="00A2330D" w:rsidRDefault="006F495F" w:rsidP="00EE1DCA">
            <w:pPr>
              <w:spacing w:after="0" w:line="240" w:lineRule="auto"/>
              <w:jc w:val="center"/>
              <w:rPr>
                <w:rFonts w:ascii="Calibri" w:eastAsia="Times New Roman" w:hAnsi="Calibri" w:cs="Times New Roman"/>
                <w:color w:val="000000"/>
              </w:rPr>
            </w:pPr>
            <w:r w:rsidRPr="00A2330D">
              <w:rPr>
                <w:rFonts w:ascii="Calibri" w:eastAsia="Times New Roman" w:hAnsi="Calibri" w:cs="Times New Roman"/>
                <w:color w:val="000000"/>
              </w:rPr>
              <w:t>2015</w:t>
            </w:r>
          </w:p>
        </w:tc>
        <w:tc>
          <w:tcPr>
            <w:tcW w:w="1350" w:type="dxa"/>
            <w:tcBorders>
              <w:top w:val="nil"/>
              <w:left w:val="nil"/>
              <w:bottom w:val="nil"/>
              <w:right w:val="single" w:sz="4" w:space="0" w:color="auto"/>
            </w:tcBorders>
            <w:shd w:val="clear" w:color="auto" w:fill="auto"/>
            <w:noWrap/>
            <w:vAlign w:val="bottom"/>
            <w:hideMark/>
          </w:tcPr>
          <w:p w14:paraId="0AAEDEB9" w14:textId="77777777" w:rsidR="006F495F" w:rsidRPr="00A2330D" w:rsidRDefault="006F495F" w:rsidP="00EE1DCA">
            <w:pPr>
              <w:spacing w:after="0" w:line="240" w:lineRule="auto"/>
              <w:jc w:val="center"/>
              <w:rPr>
                <w:rFonts w:ascii="Calibri" w:eastAsia="Times New Roman" w:hAnsi="Calibri" w:cs="Times New Roman"/>
                <w:color w:val="000000"/>
              </w:rPr>
            </w:pPr>
            <w:r w:rsidRPr="00A2330D">
              <w:rPr>
                <w:rFonts w:ascii="Calibri" w:eastAsia="Times New Roman" w:hAnsi="Calibri" w:cs="Times New Roman"/>
                <w:color w:val="000000"/>
              </w:rPr>
              <w:t>596</w:t>
            </w:r>
          </w:p>
        </w:tc>
        <w:tc>
          <w:tcPr>
            <w:tcW w:w="1213" w:type="dxa"/>
            <w:tcBorders>
              <w:top w:val="nil"/>
              <w:left w:val="nil"/>
              <w:bottom w:val="nil"/>
              <w:right w:val="single" w:sz="8" w:space="0" w:color="auto"/>
            </w:tcBorders>
            <w:shd w:val="clear" w:color="auto" w:fill="auto"/>
            <w:noWrap/>
            <w:vAlign w:val="bottom"/>
            <w:hideMark/>
          </w:tcPr>
          <w:p w14:paraId="71A30B1D" w14:textId="77777777" w:rsidR="006F495F" w:rsidRPr="00A2330D" w:rsidRDefault="006F495F" w:rsidP="00EE1DCA">
            <w:pPr>
              <w:spacing w:after="0" w:line="240" w:lineRule="auto"/>
              <w:jc w:val="center"/>
              <w:rPr>
                <w:rFonts w:ascii="Calibri" w:eastAsia="Times New Roman" w:hAnsi="Calibri" w:cs="Times New Roman"/>
                <w:color w:val="000000"/>
              </w:rPr>
            </w:pPr>
            <w:r w:rsidRPr="00A2330D">
              <w:rPr>
                <w:rFonts w:ascii="Calibri" w:eastAsia="Times New Roman" w:hAnsi="Calibri" w:cs="Times New Roman"/>
                <w:color w:val="000000"/>
              </w:rPr>
              <w:t>405</w:t>
            </w:r>
          </w:p>
        </w:tc>
      </w:tr>
      <w:tr w:rsidR="00F821CD" w:rsidRPr="00A2330D" w14:paraId="413B2EA5" w14:textId="77777777" w:rsidTr="00EE1DCA">
        <w:trPr>
          <w:trHeight w:val="315"/>
        </w:trPr>
        <w:tc>
          <w:tcPr>
            <w:tcW w:w="735" w:type="dxa"/>
            <w:tcBorders>
              <w:top w:val="nil"/>
              <w:left w:val="single" w:sz="8" w:space="0" w:color="auto"/>
              <w:bottom w:val="single" w:sz="8" w:space="0" w:color="auto"/>
              <w:right w:val="single" w:sz="4" w:space="0" w:color="auto"/>
            </w:tcBorders>
            <w:shd w:val="clear" w:color="auto" w:fill="auto"/>
            <w:noWrap/>
            <w:vAlign w:val="bottom"/>
          </w:tcPr>
          <w:p w14:paraId="16DFFD89" w14:textId="77777777" w:rsidR="0035405C" w:rsidRDefault="00F821CD" w:rsidP="00EE1DC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To </w:t>
            </w:r>
          </w:p>
          <w:p w14:paraId="4ED30C9A" w14:textId="2A0E21B3" w:rsidR="00F821CD" w:rsidRPr="00A2330D" w:rsidRDefault="00F821CD" w:rsidP="00EE1DC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date</w:t>
            </w:r>
          </w:p>
        </w:tc>
        <w:tc>
          <w:tcPr>
            <w:tcW w:w="1350" w:type="dxa"/>
            <w:tcBorders>
              <w:top w:val="nil"/>
              <w:left w:val="nil"/>
              <w:bottom w:val="single" w:sz="8" w:space="0" w:color="auto"/>
              <w:right w:val="single" w:sz="4" w:space="0" w:color="auto"/>
            </w:tcBorders>
            <w:shd w:val="clear" w:color="auto" w:fill="auto"/>
            <w:noWrap/>
            <w:vAlign w:val="bottom"/>
          </w:tcPr>
          <w:p w14:paraId="11974C8F" w14:textId="77777777" w:rsidR="00F821CD" w:rsidRPr="00A2330D" w:rsidRDefault="00F821CD" w:rsidP="00EE1DCA">
            <w:pPr>
              <w:spacing w:after="0" w:line="240" w:lineRule="auto"/>
              <w:jc w:val="center"/>
              <w:rPr>
                <w:rFonts w:ascii="Calibri" w:eastAsia="Times New Roman" w:hAnsi="Calibri" w:cs="Times New Roman"/>
                <w:color w:val="000000"/>
              </w:rPr>
            </w:pPr>
          </w:p>
        </w:tc>
        <w:tc>
          <w:tcPr>
            <w:tcW w:w="1213" w:type="dxa"/>
            <w:tcBorders>
              <w:top w:val="nil"/>
              <w:left w:val="nil"/>
              <w:bottom w:val="single" w:sz="8" w:space="0" w:color="auto"/>
              <w:right w:val="single" w:sz="8" w:space="0" w:color="auto"/>
            </w:tcBorders>
            <w:shd w:val="clear" w:color="auto" w:fill="auto"/>
            <w:noWrap/>
            <w:vAlign w:val="bottom"/>
          </w:tcPr>
          <w:p w14:paraId="7460D0E7" w14:textId="77777777" w:rsidR="00F821CD" w:rsidRPr="00A2330D" w:rsidRDefault="00F821CD" w:rsidP="00EE1DCA">
            <w:pPr>
              <w:spacing w:after="0" w:line="240" w:lineRule="auto"/>
              <w:jc w:val="center"/>
              <w:rPr>
                <w:rFonts w:ascii="Calibri" w:eastAsia="Times New Roman" w:hAnsi="Calibri" w:cs="Times New Roman"/>
                <w:color w:val="000000"/>
              </w:rPr>
            </w:pPr>
          </w:p>
        </w:tc>
      </w:tr>
    </w:tbl>
    <w:p w14:paraId="4D72A465" w14:textId="77777777" w:rsidR="006F495F" w:rsidRDefault="006F495F" w:rsidP="006F495F">
      <w:pPr>
        <w:pStyle w:val="NoSpacing"/>
        <w:rPr>
          <w:b/>
          <w:sz w:val="28"/>
          <w:szCs w:val="28"/>
        </w:rPr>
      </w:pPr>
    </w:p>
    <w:p w14:paraId="6C58750E" w14:textId="6978C845" w:rsidR="0035405C" w:rsidRDefault="0035405C" w:rsidP="006F495F">
      <w:pPr>
        <w:pStyle w:val="NoSpacing"/>
        <w:rPr>
          <w:sz w:val="24"/>
          <w:szCs w:val="24"/>
        </w:rPr>
      </w:pPr>
      <w:r w:rsidRPr="0035405C">
        <w:rPr>
          <w:sz w:val="24"/>
          <w:szCs w:val="24"/>
        </w:rPr>
        <w:t>A significant number of</w:t>
      </w:r>
      <w:r>
        <w:rPr>
          <w:sz w:val="24"/>
          <w:szCs w:val="24"/>
        </w:rPr>
        <w:t xml:space="preserve"> children in DCFS custody are placed for</w:t>
      </w:r>
      <w:r w:rsidR="00CF5E2D">
        <w:rPr>
          <w:sz w:val="24"/>
          <w:szCs w:val="24"/>
        </w:rPr>
        <w:t xml:space="preserve"> adoption </w:t>
      </w:r>
      <w:r w:rsidR="002570E6">
        <w:rPr>
          <w:sz w:val="24"/>
          <w:szCs w:val="24"/>
        </w:rPr>
        <w:t>annually</w:t>
      </w:r>
      <w:r w:rsidR="00CF5E2D">
        <w:rPr>
          <w:sz w:val="24"/>
          <w:szCs w:val="24"/>
        </w:rPr>
        <w:t>, thanks to D</w:t>
      </w:r>
      <w:r>
        <w:rPr>
          <w:sz w:val="24"/>
          <w:szCs w:val="24"/>
        </w:rPr>
        <w:t xml:space="preserve">CFS and its adoption community partners.  The number of finalized adoptions </w:t>
      </w:r>
      <w:r w:rsidR="002570E6">
        <w:rPr>
          <w:sz w:val="24"/>
          <w:szCs w:val="24"/>
        </w:rPr>
        <w:t>has</w:t>
      </w:r>
      <w:r>
        <w:rPr>
          <w:sz w:val="24"/>
          <w:szCs w:val="24"/>
        </w:rPr>
        <w:t xml:space="preserve"> grown by over 140 children since 2011.</w:t>
      </w:r>
    </w:p>
    <w:p w14:paraId="61D29D29" w14:textId="77777777" w:rsidR="0035405C" w:rsidRDefault="0035405C" w:rsidP="006F495F">
      <w:pPr>
        <w:pStyle w:val="NoSpacing"/>
        <w:rPr>
          <w:sz w:val="24"/>
          <w:szCs w:val="24"/>
        </w:rPr>
      </w:pPr>
    </w:p>
    <w:p w14:paraId="67E412BF" w14:textId="33B015F5" w:rsidR="0035405C" w:rsidRPr="0035405C" w:rsidRDefault="0035405C" w:rsidP="006F495F">
      <w:pPr>
        <w:pStyle w:val="NoSpacing"/>
        <w:rPr>
          <w:b/>
          <w:i/>
          <w:sz w:val="24"/>
          <w:szCs w:val="24"/>
        </w:rPr>
      </w:pPr>
      <w:r>
        <w:rPr>
          <w:b/>
          <w:i/>
          <w:sz w:val="24"/>
          <w:szCs w:val="24"/>
        </w:rPr>
        <w:t>Post-Adoptive Supports</w:t>
      </w:r>
    </w:p>
    <w:p w14:paraId="188F8204" w14:textId="77777777" w:rsidR="0035405C" w:rsidRDefault="0035405C" w:rsidP="006F495F">
      <w:pPr>
        <w:pStyle w:val="NoSpacing"/>
        <w:rPr>
          <w:b/>
          <w:sz w:val="28"/>
          <w:szCs w:val="28"/>
        </w:rPr>
      </w:pPr>
    </w:p>
    <w:p w14:paraId="692C6A30" w14:textId="04A3C254" w:rsidR="001D3456" w:rsidRDefault="00CF5E2D" w:rsidP="007E28E9">
      <w:pPr>
        <w:pStyle w:val="NoSpacing"/>
        <w:rPr>
          <w:sz w:val="24"/>
          <w:szCs w:val="24"/>
        </w:rPr>
      </w:pPr>
      <w:r>
        <w:rPr>
          <w:sz w:val="24"/>
          <w:szCs w:val="24"/>
        </w:rPr>
        <w:t>DCF</w:t>
      </w:r>
      <w:r w:rsidR="00DF6034">
        <w:rPr>
          <w:sz w:val="24"/>
          <w:szCs w:val="24"/>
        </w:rPr>
        <w:t xml:space="preserve">S conducted a study of adoption re-entries in March 2015 and noted that since FY 2004, when the foster care population was half </w:t>
      </w:r>
      <w:r w:rsidR="000B0A26">
        <w:rPr>
          <w:sz w:val="24"/>
          <w:szCs w:val="24"/>
        </w:rPr>
        <w:t>that of</w:t>
      </w:r>
      <w:r w:rsidR="00DF6034">
        <w:rPr>
          <w:sz w:val="24"/>
          <w:szCs w:val="24"/>
        </w:rPr>
        <w:t xml:space="preserve"> today, the annual number of adoptions has risen from 360 to 724.  It also found that of the 4,055 adoptions finalized between FY 2007 and 2013, 67 children, less than 1.7 percent, returned to foster care.  </w:t>
      </w:r>
      <w:r w:rsidR="00D86483">
        <w:rPr>
          <w:sz w:val="24"/>
          <w:szCs w:val="24"/>
        </w:rPr>
        <w:t xml:space="preserve">Not all of these children were placed through a DCFS adoption.  </w:t>
      </w:r>
      <w:r w:rsidR="00DF6034">
        <w:rPr>
          <w:sz w:val="24"/>
          <w:szCs w:val="24"/>
        </w:rPr>
        <w:t>Behavioral issues were identified as the most common reasons these children re-entered foster care.  The study noted that DCFS generally did not find out about these behavioral issues because there is little follow-up with</w:t>
      </w:r>
      <w:r w:rsidR="00D86483">
        <w:rPr>
          <w:sz w:val="24"/>
          <w:szCs w:val="24"/>
        </w:rPr>
        <w:t xml:space="preserve"> post adoptive parents after</w:t>
      </w:r>
      <w:r w:rsidR="00DF6034">
        <w:rPr>
          <w:sz w:val="24"/>
          <w:szCs w:val="24"/>
        </w:rPr>
        <w:t xml:space="preserve"> the adoption is finalized.</w:t>
      </w:r>
      <w:r w:rsidR="00D86483">
        <w:rPr>
          <w:sz w:val="24"/>
          <w:szCs w:val="24"/>
        </w:rPr>
        <w:t xml:space="preserve">  DCFS adoption specialists were found to be unaware of any responsibility to provide post-adoption services to parents.</w:t>
      </w:r>
    </w:p>
    <w:p w14:paraId="6A61898B" w14:textId="77777777" w:rsidR="005C135B" w:rsidRDefault="005C135B" w:rsidP="007E28E9">
      <w:pPr>
        <w:pStyle w:val="NoSpacing"/>
        <w:rPr>
          <w:sz w:val="24"/>
          <w:szCs w:val="24"/>
        </w:rPr>
      </w:pPr>
    </w:p>
    <w:p w14:paraId="3AE6920E" w14:textId="18725015" w:rsidR="005C135B" w:rsidRDefault="005C135B" w:rsidP="007E28E9">
      <w:pPr>
        <w:pStyle w:val="NoSpacing"/>
        <w:rPr>
          <w:sz w:val="24"/>
          <w:szCs w:val="24"/>
        </w:rPr>
      </w:pPr>
      <w:r>
        <w:rPr>
          <w:sz w:val="24"/>
          <w:szCs w:val="24"/>
        </w:rPr>
        <w:t>Both central office and local DCFS staff stated during this review that there had not been a practice of staff offering post</w:t>
      </w:r>
      <w:r w:rsidR="0035405C">
        <w:rPr>
          <w:sz w:val="24"/>
          <w:szCs w:val="24"/>
        </w:rPr>
        <w:t>-</w:t>
      </w:r>
      <w:r>
        <w:rPr>
          <w:sz w:val="24"/>
          <w:szCs w:val="24"/>
        </w:rPr>
        <w:t xml:space="preserve">adoptive services during a crisis in the past.  Recently DCFS sent communications to local staff </w:t>
      </w:r>
      <w:r w:rsidR="003077A7">
        <w:rPr>
          <w:sz w:val="24"/>
          <w:szCs w:val="24"/>
        </w:rPr>
        <w:t>with guidance about pre-adoptive and post-adoptive supports.</w:t>
      </w:r>
      <w:r>
        <w:rPr>
          <w:sz w:val="24"/>
          <w:szCs w:val="24"/>
        </w:rPr>
        <w:t xml:space="preserve"> </w:t>
      </w:r>
      <w:r w:rsidR="003077A7" w:rsidRPr="003077A7">
        <w:rPr>
          <w:sz w:val="24"/>
          <w:szCs w:val="24"/>
        </w:rPr>
        <w:t>The message stated the following:</w:t>
      </w:r>
    </w:p>
    <w:p w14:paraId="225E2A28" w14:textId="77777777" w:rsidR="003077A7" w:rsidRDefault="003077A7" w:rsidP="007E28E9">
      <w:pPr>
        <w:pStyle w:val="NoSpacing"/>
        <w:rPr>
          <w:sz w:val="24"/>
          <w:szCs w:val="24"/>
        </w:rPr>
      </w:pPr>
    </w:p>
    <w:p w14:paraId="1D4E84DB" w14:textId="0029510B" w:rsidR="003077A7" w:rsidRDefault="003077A7" w:rsidP="003077A7">
      <w:pPr>
        <w:ind w:left="432" w:right="432"/>
      </w:pPr>
      <w:r>
        <w:t>Recent attention regarding adoptions has highlighted how important it is that we -- in all levels of the division -- are sensitive, non-threatening and professional when families approach us, especially when these families are contacting us about issues they are having in either a pre-adoptive placement or with a finalized adoption. They should walk away from any interaction with us knowing that we are here to help them no matter where they are in the adoption process. </w:t>
      </w:r>
    </w:p>
    <w:p w14:paraId="36C4AE06" w14:textId="7DB18F0A" w:rsidR="003077A7" w:rsidRDefault="003077A7" w:rsidP="003077A7">
      <w:pPr>
        <w:ind w:left="432" w:right="432"/>
      </w:pPr>
      <w:r>
        <w:t>There is always more we can do to ensure families feel that we are listening to and addressing their concerns, including communicating better with them throughout the process; ensuring they know to and how to communicate with us when they have questions or concerns; ensuring they are aware of the services available to them at all stages; and ensuring adoptive families understand how to access post-adoptive services. </w:t>
      </w:r>
    </w:p>
    <w:p w14:paraId="3254E3BD" w14:textId="77777777" w:rsidR="003077A7" w:rsidRDefault="003077A7" w:rsidP="003077A7">
      <w:pPr>
        <w:ind w:left="432" w:right="432"/>
      </w:pPr>
      <w:r>
        <w:t xml:space="preserve">With input, we are developing more systemic supports for families and staff to ensure families and children receive the services needed to provide children with “forever” families. I will share additional information with you all about that once it is available. Thank you for your hard work and dedication to the children and families you serve. </w:t>
      </w:r>
    </w:p>
    <w:p w14:paraId="6A023977" w14:textId="21829D07" w:rsidR="00002715" w:rsidRPr="00002715" w:rsidRDefault="0035405C" w:rsidP="008430BF">
      <w:pPr>
        <w:ind w:right="432"/>
        <w:rPr>
          <w:color w:val="C00000"/>
        </w:rPr>
      </w:pPr>
      <w:r w:rsidRPr="00A3713D">
        <w:rPr>
          <w:sz w:val="24"/>
          <w:szCs w:val="24"/>
        </w:rPr>
        <w:t>DCFS states that</w:t>
      </w:r>
      <w:r w:rsidR="008430BF">
        <w:rPr>
          <w:sz w:val="24"/>
          <w:szCs w:val="24"/>
        </w:rPr>
        <w:t xml:space="preserve"> it now provides information about post-adoptive supports to all pre-adoptive families.</w:t>
      </w:r>
    </w:p>
    <w:p w14:paraId="644A131A" w14:textId="3E3F9ED3" w:rsidR="00847CE2" w:rsidRDefault="009C3BAE" w:rsidP="009C3BAE">
      <w:pPr>
        <w:pStyle w:val="NoSpacing"/>
        <w:numPr>
          <w:ilvl w:val="0"/>
          <w:numId w:val="8"/>
        </w:numPr>
        <w:rPr>
          <w:b/>
          <w:sz w:val="28"/>
          <w:szCs w:val="28"/>
        </w:rPr>
      </w:pPr>
      <w:r>
        <w:rPr>
          <w:b/>
          <w:sz w:val="28"/>
          <w:szCs w:val="28"/>
        </w:rPr>
        <w:t xml:space="preserve">Child </w:t>
      </w:r>
      <w:r w:rsidR="00847CE2">
        <w:rPr>
          <w:b/>
          <w:sz w:val="28"/>
          <w:szCs w:val="28"/>
        </w:rPr>
        <w:t>Well-Being</w:t>
      </w:r>
    </w:p>
    <w:p w14:paraId="341014D6" w14:textId="77777777" w:rsidR="00002715" w:rsidRDefault="00002715" w:rsidP="007E28E9">
      <w:pPr>
        <w:pStyle w:val="NoSpacing"/>
        <w:rPr>
          <w:b/>
          <w:sz w:val="28"/>
          <w:szCs w:val="28"/>
        </w:rPr>
      </w:pPr>
    </w:p>
    <w:p w14:paraId="67FC2564" w14:textId="4B7806B4" w:rsidR="00002715" w:rsidRPr="00002715" w:rsidRDefault="00002715" w:rsidP="007E28E9">
      <w:pPr>
        <w:pStyle w:val="NoSpacing"/>
        <w:rPr>
          <w:sz w:val="24"/>
          <w:szCs w:val="24"/>
        </w:rPr>
      </w:pPr>
      <w:r>
        <w:rPr>
          <w:sz w:val="24"/>
          <w:szCs w:val="24"/>
        </w:rPr>
        <w:t>Nationally, child welfare does not have a sophisticated ability to assess child well-being and as a result, measures</w:t>
      </w:r>
      <w:r w:rsidRPr="00002715">
        <w:rPr>
          <w:sz w:val="24"/>
          <w:szCs w:val="24"/>
        </w:rPr>
        <w:t xml:space="preserve"> </w:t>
      </w:r>
      <w:r>
        <w:rPr>
          <w:sz w:val="24"/>
          <w:szCs w:val="24"/>
        </w:rPr>
        <w:t xml:space="preserve">are few in number.  Currently, qualitative tools currently are the most frequently used.  </w:t>
      </w:r>
      <w:r w:rsidR="008430BF">
        <w:rPr>
          <w:sz w:val="24"/>
          <w:szCs w:val="24"/>
        </w:rPr>
        <w:t>Some of these</w:t>
      </w:r>
      <w:r>
        <w:rPr>
          <w:sz w:val="24"/>
          <w:szCs w:val="24"/>
        </w:rPr>
        <w:t xml:space="preserve"> often involve case file reviews, which have limited value</w:t>
      </w:r>
      <w:r w:rsidR="008430BF">
        <w:rPr>
          <w:sz w:val="24"/>
          <w:szCs w:val="24"/>
        </w:rPr>
        <w:t>.  More useful approaches employ interview-based approache</w:t>
      </w:r>
      <w:r>
        <w:rPr>
          <w:sz w:val="24"/>
          <w:szCs w:val="24"/>
        </w:rPr>
        <w:t>s which</w:t>
      </w:r>
      <w:r w:rsidR="008430BF">
        <w:rPr>
          <w:sz w:val="24"/>
          <w:szCs w:val="24"/>
        </w:rPr>
        <w:t xml:space="preserve"> use</w:t>
      </w:r>
      <w:r>
        <w:rPr>
          <w:sz w:val="24"/>
          <w:szCs w:val="24"/>
        </w:rPr>
        <w:t xml:space="preserve"> interviews with children and youth, caregivers, </w:t>
      </w:r>
      <w:r w:rsidR="008430BF">
        <w:rPr>
          <w:sz w:val="24"/>
          <w:szCs w:val="24"/>
        </w:rPr>
        <w:t xml:space="preserve">workers, </w:t>
      </w:r>
      <w:r>
        <w:rPr>
          <w:sz w:val="24"/>
          <w:szCs w:val="24"/>
        </w:rPr>
        <w:t xml:space="preserve">substitute caregivers and professionals.  These interview-based methods involve reviews of a modest sample of cases, using interviews to form </w:t>
      </w:r>
      <w:r w:rsidR="00E955B5">
        <w:rPr>
          <w:sz w:val="24"/>
          <w:szCs w:val="24"/>
        </w:rPr>
        <w:t xml:space="preserve">professional </w:t>
      </w:r>
      <w:r>
        <w:rPr>
          <w:sz w:val="24"/>
          <w:szCs w:val="24"/>
        </w:rPr>
        <w:t>judgements about the quality and effectiveness o</w:t>
      </w:r>
      <w:r w:rsidR="0090677D">
        <w:rPr>
          <w:sz w:val="24"/>
          <w:szCs w:val="24"/>
        </w:rPr>
        <w:t>f interventions.  Fortunately, D</w:t>
      </w:r>
      <w:r>
        <w:rPr>
          <w:sz w:val="24"/>
          <w:szCs w:val="24"/>
        </w:rPr>
        <w:t xml:space="preserve">CFS has established a qualitative review process, </w:t>
      </w:r>
      <w:r w:rsidR="00E955B5">
        <w:rPr>
          <w:sz w:val="24"/>
          <w:szCs w:val="24"/>
        </w:rPr>
        <w:t xml:space="preserve">the statewide Quality Services Peer Reviews (QSPR) involving 300 cases statewide.  Because of the small sample, data are not statistically definitive, but do provide a representative view of overall qualitative performance.  DCFS describes the QSPR as mirroring the Federal Child and Family </w:t>
      </w:r>
      <w:r w:rsidR="00CF5E2D">
        <w:rPr>
          <w:sz w:val="24"/>
          <w:szCs w:val="24"/>
        </w:rPr>
        <w:t xml:space="preserve">Service </w:t>
      </w:r>
      <w:r w:rsidR="00E955B5">
        <w:rPr>
          <w:sz w:val="24"/>
          <w:szCs w:val="24"/>
        </w:rPr>
        <w:t>Review Process (CFSR</w:t>
      </w:r>
      <w:r w:rsidR="000B0A26">
        <w:rPr>
          <w:sz w:val="24"/>
          <w:szCs w:val="24"/>
        </w:rPr>
        <w:t>)</w:t>
      </w:r>
      <w:r w:rsidR="00E955B5">
        <w:rPr>
          <w:sz w:val="24"/>
          <w:szCs w:val="24"/>
        </w:rPr>
        <w:t>.  The QSRP process is the source</w:t>
      </w:r>
      <w:r w:rsidR="00CF5E2D">
        <w:rPr>
          <w:sz w:val="24"/>
          <w:szCs w:val="24"/>
        </w:rPr>
        <w:t xml:space="preserve"> of</w:t>
      </w:r>
      <w:r w:rsidR="00E955B5">
        <w:rPr>
          <w:sz w:val="24"/>
          <w:szCs w:val="24"/>
        </w:rPr>
        <w:t xml:space="preserve"> the following table:</w:t>
      </w:r>
    </w:p>
    <w:p w14:paraId="08CBC070" w14:textId="77777777" w:rsidR="004466D4" w:rsidRDefault="004466D4" w:rsidP="007E28E9">
      <w:pPr>
        <w:pStyle w:val="NoSpacing"/>
      </w:pPr>
    </w:p>
    <w:p w14:paraId="0BA2430F" w14:textId="77777777" w:rsidR="00B6481A" w:rsidRDefault="00B6481A" w:rsidP="007E28E9">
      <w:pPr>
        <w:pStyle w:val="NoSpacing"/>
      </w:pPr>
    </w:p>
    <w:p w14:paraId="6AF35D08" w14:textId="77777777" w:rsidR="00B6481A" w:rsidRDefault="004E3F6E" w:rsidP="007E28E9">
      <w:pPr>
        <w:pStyle w:val="NoSpacing"/>
      </w:pPr>
      <w:r w:rsidRPr="000754CA">
        <w:rPr>
          <w:noProof/>
        </w:rPr>
        <w:drawing>
          <wp:inline distT="0" distB="0" distL="0" distR="0" wp14:anchorId="33882EB1" wp14:editId="0A741A90">
            <wp:extent cx="5943600" cy="3022600"/>
            <wp:effectExtent l="0" t="0" r="0" b="0"/>
            <wp:docPr id="21" name="Char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44D9CB" w14:textId="643A7A50" w:rsidR="00B6481A" w:rsidRPr="004E65F8" w:rsidRDefault="0090677D" w:rsidP="007E28E9">
      <w:pPr>
        <w:pStyle w:val="NoSpacing"/>
        <w:rPr>
          <w:b/>
        </w:rPr>
      </w:pPr>
      <w:r>
        <w:rPr>
          <w:b/>
        </w:rPr>
        <w:t xml:space="preserve">Overall System Trends and </w:t>
      </w:r>
      <w:r w:rsidR="004E65F8">
        <w:rPr>
          <w:b/>
        </w:rPr>
        <w:t>Performance</w:t>
      </w:r>
    </w:p>
    <w:p w14:paraId="0D640B27" w14:textId="77777777" w:rsidR="00B6481A" w:rsidRDefault="00B6481A" w:rsidP="007E28E9">
      <w:pPr>
        <w:pStyle w:val="NoSpacing"/>
      </w:pPr>
    </w:p>
    <w:p w14:paraId="520C98CE" w14:textId="5B8BCFD1" w:rsidR="007E28E9" w:rsidRPr="002570E6" w:rsidRDefault="0090677D" w:rsidP="007E28E9">
      <w:pPr>
        <w:pStyle w:val="NoSpacing"/>
        <w:rPr>
          <w:sz w:val="24"/>
          <w:szCs w:val="24"/>
        </w:rPr>
      </w:pPr>
      <w:r w:rsidRPr="002570E6">
        <w:rPr>
          <w:sz w:val="24"/>
          <w:szCs w:val="24"/>
        </w:rPr>
        <w:t xml:space="preserve">Based on these QSPR measures DCFS does a competent job of addressing Educational, </w:t>
      </w:r>
      <w:r w:rsidR="000B0A26" w:rsidRPr="002570E6">
        <w:rPr>
          <w:sz w:val="24"/>
          <w:szCs w:val="24"/>
        </w:rPr>
        <w:t>P</w:t>
      </w:r>
      <w:r w:rsidR="00686E11" w:rsidRPr="002570E6">
        <w:rPr>
          <w:sz w:val="24"/>
          <w:szCs w:val="24"/>
        </w:rPr>
        <w:t>hysical Health</w:t>
      </w:r>
      <w:r w:rsidRPr="002570E6">
        <w:rPr>
          <w:sz w:val="24"/>
          <w:szCs w:val="24"/>
        </w:rPr>
        <w:t xml:space="preserve"> </w:t>
      </w:r>
      <w:r w:rsidR="00686E11" w:rsidRPr="002570E6">
        <w:rPr>
          <w:sz w:val="24"/>
          <w:szCs w:val="24"/>
        </w:rPr>
        <w:t xml:space="preserve">and Mental Health </w:t>
      </w:r>
      <w:r w:rsidRPr="002570E6">
        <w:rPr>
          <w:sz w:val="24"/>
          <w:szCs w:val="24"/>
        </w:rPr>
        <w:t>needs</w:t>
      </w:r>
      <w:r w:rsidR="000B0A26" w:rsidRPr="002570E6">
        <w:rPr>
          <w:sz w:val="24"/>
          <w:szCs w:val="24"/>
        </w:rPr>
        <w:t xml:space="preserve"> for children in foster care</w:t>
      </w:r>
      <w:r w:rsidRPr="002570E6">
        <w:rPr>
          <w:sz w:val="24"/>
          <w:szCs w:val="24"/>
        </w:rPr>
        <w:t xml:space="preserve">, but performs less well with in-home cases.  Arguably, the Department’s obligation to meet these needs </w:t>
      </w:r>
      <w:r w:rsidR="003631D0">
        <w:rPr>
          <w:sz w:val="24"/>
          <w:szCs w:val="24"/>
        </w:rPr>
        <w:t>is</w:t>
      </w:r>
      <w:r w:rsidRPr="002570E6">
        <w:rPr>
          <w:sz w:val="24"/>
          <w:szCs w:val="24"/>
        </w:rPr>
        <w:t xml:space="preserve"> greater for children in its custody than children living with their own families.  Typically, child welfare systems do a much better job in meeting </w:t>
      </w:r>
      <w:r w:rsidR="00686E11" w:rsidRPr="002570E6">
        <w:rPr>
          <w:sz w:val="24"/>
          <w:szCs w:val="24"/>
        </w:rPr>
        <w:t xml:space="preserve">physical </w:t>
      </w:r>
      <w:r w:rsidRPr="002570E6">
        <w:rPr>
          <w:sz w:val="24"/>
          <w:szCs w:val="24"/>
        </w:rPr>
        <w:t xml:space="preserve">health needs than mental health needs.  The performance level for meeting mental health needs is surprisingly high, compared to qualitative reviews in other systems.  </w:t>
      </w:r>
      <w:r w:rsidR="000B0A26" w:rsidRPr="002570E6">
        <w:rPr>
          <w:sz w:val="24"/>
          <w:szCs w:val="24"/>
        </w:rPr>
        <w:t>Stakeholders and front-line staff did not describe the Division’s response to children with mental health needs as positively as this assessment did.</w:t>
      </w:r>
    </w:p>
    <w:p w14:paraId="484EF52C" w14:textId="77777777" w:rsidR="007E28E9" w:rsidRDefault="007E28E9" w:rsidP="007E28E9">
      <w:pPr>
        <w:pStyle w:val="NoSpacing"/>
      </w:pPr>
    </w:p>
    <w:p w14:paraId="182066C3" w14:textId="4D448E42" w:rsidR="007E28E9" w:rsidRDefault="00754F54" w:rsidP="009C3BAE">
      <w:pPr>
        <w:pStyle w:val="NoSpacing"/>
        <w:numPr>
          <w:ilvl w:val="0"/>
          <w:numId w:val="8"/>
        </w:numPr>
        <w:rPr>
          <w:b/>
          <w:sz w:val="28"/>
          <w:szCs w:val="28"/>
        </w:rPr>
      </w:pPr>
      <w:r w:rsidRPr="00754F54">
        <w:rPr>
          <w:b/>
          <w:sz w:val="28"/>
          <w:szCs w:val="28"/>
        </w:rPr>
        <w:t xml:space="preserve">The Front-Line </w:t>
      </w:r>
      <w:r w:rsidR="00981A49">
        <w:rPr>
          <w:b/>
          <w:sz w:val="28"/>
          <w:szCs w:val="28"/>
        </w:rPr>
        <w:t xml:space="preserve">DCFS </w:t>
      </w:r>
      <w:r w:rsidRPr="00754F54">
        <w:rPr>
          <w:b/>
          <w:sz w:val="28"/>
          <w:szCs w:val="28"/>
        </w:rPr>
        <w:t>Environment</w:t>
      </w:r>
    </w:p>
    <w:p w14:paraId="41FBD699" w14:textId="77777777" w:rsidR="007C07B9" w:rsidRDefault="007C07B9" w:rsidP="007C07B9">
      <w:pPr>
        <w:pStyle w:val="NoSpacing"/>
        <w:ind w:left="1080"/>
        <w:rPr>
          <w:b/>
          <w:sz w:val="28"/>
          <w:szCs w:val="28"/>
        </w:rPr>
      </w:pPr>
    </w:p>
    <w:p w14:paraId="2C38E326" w14:textId="554C60F9" w:rsidR="00836FDE" w:rsidRDefault="00981A49" w:rsidP="00CB4A1B">
      <w:pPr>
        <w:pStyle w:val="NoSpacing"/>
        <w:rPr>
          <w:sz w:val="24"/>
          <w:szCs w:val="24"/>
        </w:rPr>
      </w:pPr>
      <w:r>
        <w:rPr>
          <w:sz w:val="24"/>
          <w:szCs w:val="24"/>
        </w:rPr>
        <w:t xml:space="preserve">Meetings </w:t>
      </w:r>
      <w:r w:rsidRPr="00981A49">
        <w:rPr>
          <w:sz w:val="24"/>
          <w:szCs w:val="24"/>
        </w:rPr>
        <w:t>were held</w:t>
      </w:r>
      <w:r>
        <w:rPr>
          <w:sz w:val="24"/>
          <w:szCs w:val="24"/>
        </w:rPr>
        <w:t xml:space="preserve"> with all Area Directors and with three large </w:t>
      </w:r>
      <w:r w:rsidR="004E21CB">
        <w:rPr>
          <w:sz w:val="24"/>
          <w:szCs w:val="24"/>
        </w:rPr>
        <w:t>groups of DCFS Investigators, Family Service W</w:t>
      </w:r>
      <w:r w:rsidR="00686E11">
        <w:rPr>
          <w:sz w:val="24"/>
          <w:szCs w:val="24"/>
        </w:rPr>
        <w:t>orkers and front-</w:t>
      </w:r>
      <w:r>
        <w:rPr>
          <w:sz w:val="24"/>
          <w:szCs w:val="24"/>
        </w:rPr>
        <w:t>line supervisors, representing offices from throughout the state.  The work environment described by many of these staff  was one of high caseloads and workloads, constant compliance deadlines, some of which staff stated were not possible to meet</w:t>
      </w:r>
      <w:r w:rsidRPr="000B0A26">
        <w:rPr>
          <w:sz w:val="24"/>
          <w:szCs w:val="24"/>
        </w:rPr>
        <w:t>, low pay,</w:t>
      </w:r>
      <w:r>
        <w:rPr>
          <w:sz w:val="24"/>
          <w:szCs w:val="24"/>
        </w:rPr>
        <w:t xml:space="preserve"> constant turnover and vacancies and work weeks routinely extending beyond 40 hours.  They cited limitations on compensation for overtime, the threat of being disciplined for not meeting compliance measures and the lack of technology, in this case smart phones, as additional stresses.  </w:t>
      </w:r>
      <w:r w:rsidR="00381DC5">
        <w:rPr>
          <w:sz w:val="24"/>
          <w:szCs w:val="24"/>
        </w:rPr>
        <w:t>(Note:  DCFS recently piloted the use of smart phones and now plans to equip all line staff and supervisors with the technology this year.</w:t>
      </w:r>
      <w:r w:rsidR="000B0A26">
        <w:rPr>
          <w:sz w:val="24"/>
          <w:szCs w:val="24"/>
        </w:rPr>
        <w:t>)</w:t>
      </w:r>
      <w:r w:rsidR="005A7F04">
        <w:rPr>
          <w:sz w:val="24"/>
          <w:szCs w:val="24"/>
        </w:rPr>
        <w:t xml:space="preserve">  Staff also identified the high number of concurrent initiatives undertaken in recent years as a challenge, although they understood the potential value of many of them individually.</w:t>
      </w:r>
    </w:p>
    <w:p w14:paraId="1D6EE114" w14:textId="77777777" w:rsidR="00836FDE" w:rsidRDefault="00836FDE" w:rsidP="00CB4A1B">
      <w:pPr>
        <w:pStyle w:val="NoSpacing"/>
        <w:rPr>
          <w:sz w:val="24"/>
          <w:szCs w:val="24"/>
        </w:rPr>
      </w:pPr>
    </w:p>
    <w:p w14:paraId="41BD7F8D" w14:textId="1DB073AC" w:rsidR="00836FDE" w:rsidRDefault="00836FDE" w:rsidP="00CB4A1B">
      <w:pPr>
        <w:pStyle w:val="NoSpacing"/>
        <w:rPr>
          <w:sz w:val="24"/>
          <w:szCs w:val="24"/>
        </w:rPr>
      </w:pPr>
      <w:r>
        <w:rPr>
          <w:sz w:val="24"/>
          <w:szCs w:val="24"/>
        </w:rPr>
        <w:t>Related to compliance, the Division currently tracks 18 specific casework and administrative tasks related to child maltreatment performance</w:t>
      </w:r>
      <w:r w:rsidR="002B3971">
        <w:rPr>
          <w:sz w:val="24"/>
          <w:szCs w:val="24"/>
        </w:rPr>
        <w:t>, 22</w:t>
      </w:r>
      <w:r w:rsidR="00CF76E8">
        <w:rPr>
          <w:sz w:val="24"/>
          <w:szCs w:val="24"/>
        </w:rPr>
        <w:t xml:space="preserve"> areas related to foster</w:t>
      </w:r>
      <w:r w:rsidR="00686E11">
        <w:rPr>
          <w:sz w:val="24"/>
          <w:szCs w:val="24"/>
        </w:rPr>
        <w:t xml:space="preserve"> care </w:t>
      </w:r>
      <w:r w:rsidR="00CF76E8">
        <w:rPr>
          <w:sz w:val="24"/>
          <w:szCs w:val="24"/>
        </w:rPr>
        <w:t>tasks and 1 related to family foster homes.</w:t>
      </w:r>
      <w:r>
        <w:rPr>
          <w:sz w:val="24"/>
          <w:szCs w:val="24"/>
        </w:rPr>
        <w:t xml:space="preserve">  Some well-being indicators are included under the foster care category.  The system performs better on child maltreatment tasks than foster care tasks.  Staff face the biggest challenges in complying with expectations related to child visits with parents and siblings, which is not surprising </w:t>
      </w:r>
      <w:r w:rsidR="00DE2EEB">
        <w:rPr>
          <w:sz w:val="24"/>
          <w:szCs w:val="24"/>
        </w:rPr>
        <w:t xml:space="preserve">given </w:t>
      </w:r>
      <w:r>
        <w:rPr>
          <w:sz w:val="24"/>
          <w:szCs w:val="24"/>
        </w:rPr>
        <w:t>caseload size and children place</w:t>
      </w:r>
      <w:r w:rsidR="00DE2EEB">
        <w:rPr>
          <w:sz w:val="24"/>
          <w:szCs w:val="24"/>
        </w:rPr>
        <w:t>d</w:t>
      </w:r>
      <w:r>
        <w:rPr>
          <w:sz w:val="24"/>
          <w:szCs w:val="24"/>
        </w:rPr>
        <w:t xml:space="preserve"> out-of</w:t>
      </w:r>
      <w:r w:rsidR="00DE2EEB">
        <w:rPr>
          <w:sz w:val="24"/>
          <w:szCs w:val="24"/>
        </w:rPr>
        <w:t>-</w:t>
      </w:r>
      <w:r>
        <w:rPr>
          <w:sz w:val="24"/>
          <w:szCs w:val="24"/>
        </w:rPr>
        <w:t>county</w:t>
      </w:r>
      <w:r w:rsidR="00DE2EEB">
        <w:rPr>
          <w:sz w:val="24"/>
          <w:szCs w:val="24"/>
        </w:rPr>
        <w:t xml:space="preserve">.  Conformity to notice requirements for parents, </w:t>
      </w:r>
      <w:r w:rsidR="00686E11">
        <w:rPr>
          <w:sz w:val="24"/>
          <w:szCs w:val="24"/>
        </w:rPr>
        <w:t xml:space="preserve">CASA and </w:t>
      </w:r>
      <w:r w:rsidR="00DE2EEB">
        <w:rPr>
          <w:sz w:val="24"/>
          <w:szCs w:val="24"/>
        </w:rPr>
        <w:t>attorney</w:t>
      </w:r>
      <w:r w:rsidR="003631D0">
        <w:rPr>
          <w:sz w:val="24"/>
          <w:szCs w:val="24"/>
        </w:rPr>
        <w:t>s</w:t>
      </w:r>
      <w:r w:rsidR="00DE2EEB">
        <w:rPr>
          <w:sz w:val="24"/>
          <w:szCs w:val="24"/>
        </w:rPr>
        <w:t xml:space="preserve"> ad litem about placement changes also needs considerable improvement.  Performance related to health care activities is high.  This level of performance oversight is common in child welfare systems, but is particularly stressful</w:t>
      </w:r>
      <w:r w:rsidR="00CF76E8">
        <w:rPr>
          <w:sz w:val="24"/>
          <w:szCs w:val="24"/>
        </w:rPr>
        <w:t xml:space="preserve"> to staff</w:t>
      </w:r>
      <w:r w:rsidR="00DE2EEB">
        <w:rPr>
          <w:sz w:val="24"/>
          <w:szCs w:val="24"/>
        </w:rPr>
        <w:t xml:space="preserve"> in systems with the resource challenges Arkansas experiences.</w:t>
      </w:r>
    </w:p>
    <w:p w14:paraId="1DD32269" w14:textId="77777777" w:rsidR="00836FDE" w:rsidRDefault="00836FDE" w:rsidP="00CB4A1B">
      <w:pPr>
        <w:pStyle w:val="NoSpacing"/>
        <w:rPr>
          <w:sz w:val="24"/>
          <w:szCs w:val="24"/>
        </w:rPr>
      </w:pPr>
    </w:p>
    <w:p w14:paraId="47DBD5FC" w14:textId="1610E79D" w:rsidR="007E28E9" w:rsidRPr="001F5BE9" w:rsidRDefault="003631D0" w:rsidP="00CB4A1B">
      <w:pPr>
        <w:pStyle w:val="NoSpacing"/>
        <w:rPr>
          <w:sz w:val="24"/>
          <w:szCs w:val="24"/>
        </w:rPr>
      </w:pPr>
      <w:r>
        <w:rPr>
          <w:sz w:val="24"/>
          <w:szCs w:val="24"/>
        </w:rPr>
        <w:t>T</w:t>
      </w:r>
      <w:r w:rsidR="00981A49">
        <w:rPr>
          <w:sz w:val="24"/>
          <w:szCs w:val="24"/>
        </w:rPr>
        <w:t>he most urgent challenge cited was the lack of placements for children in out-of-home care</w:t>
      </w:r>
      <w:r w:rsidR="004E21CB">
        <w:rPr>
          <w:sz w:val="24"/>
          <w:szCs w:val="24"/>
        </w:rPr>
        <w:t xml:space="preserve">, which is creating a host of bad outcomes for children, families and staff.  Child protection investigators spoke of driving long distances to </w:t>
      </w:r>
      <w:r w:rsidR="00686E11">
        <w:rPr>
          <w:sz w:val="24"/>
          <w:szCs w:val="24"/>
        </w:rPr>
        <w:t>other</w:t>
      </w:r>
      <w:r w:rsidR="004E21CB">
        <w:rPr>
          <w:sz w:val="24"/>
          <w:szCs w:val="24"/>
        </w:rPr>
        <w:t xml:space="preserve"> counties to place children because in-county placements were unavailable.  Family Service Workers, who provide case management to children in foster care face a similar challenge, compounded by the fact that they have to </w:t>
      </w:r>
      <w:r w:rsidR="002411D3">
        <w:rPr>
          <w:sz w:val="24"/>
          <w:szCs w:val="24"/>
        </w:rPr>
        <w:t xml:space="preserve">make </w:t>
      </w:r>
      <w:r w:rsidR="00686E11">
        <w:rPr>
          <w:sz w:val="24"/>
          <w:szCs w:val="24"/>
        </w:rPr>
        <w:t>at least monthly cont</w:t>
      </w:r>
      <w:r w:rsidR="004E21CB">
        <w:rPr>
          <w:sz w:val="24"/>
          <w:szCs w:val="24"/>
        </w:rPr>
        <w:t>acts with children and often transport children to visits with parents, siblings, medical and other appointments.</w:t>
      </w:r>
      <w:r w:rsidR="000D7344">
        <w:rPr>
          <w:sz w:val="24"/>
          <w:szCs w:val="24"/>
        </w:rPr>
        <w:t xml:space="preserve">  </w:t>
      </w:r>
      <w:r w:rsidR="000D7344" w:rsidRPr="001F5BE9">
        <w:rPr>
          <w:sz w:val="24"/>
          <w:szCs w:val="24"/>
        </w:rPr>
        <w:t>Some DCFS staff noted increases in placements ordered by courts of youth who also have delinquent behaviors, perhaps in an effort to secure more treatment-oriented placement settings.  DCFS does not feel equipped to adequately serve some of these youth.</w:t>
      </w:r>
    </w:p>
    <w:p w14:paraId="57ACF518" w14:textId="77777777" w:rsidR="004E21CB" w:rsidRDefault="004E21CB" w:rsidP="00CB4A1B">
      <w:pPr>
        <w:pStyle w:val="NoSpacing"/>
        <w:rPr>
          <w:sz w:val="24"/>
          <w:szCs w:val="24"/>
        </w:rPr>
      </w:pPr>
    </w:p>
    <w:p w14:paraId="21437DAD" w14:textId="1D743D55" w:rsidR="004E21CB" w:rsidRDefault="004E21CB" w:rsidP="00CB4A1B">
      <w:pPr>
        <w:pStyle w:val="NoSpacing"/>
        <w:rPr>
          <w:sz w:val="24"/>
          <w:szCs w:val="24"/>
        </w:rPr>
      </w:pPr>
      <w:r>
        <w:rPr>
          <w:sz w:val="24"/>
          <w:szCs w:val="24"/>
        </w:rPr>
        <w:t xml:space="preserve">Some staff and supervisors must cover more than one county due to vacancies and limited staff allocations.  In rural areas of the state, services needed by children and families are limited and create additional frustrations for families, staff and legal partners.  Within these </w:t>
      </w:r>
      <w:r w:rsidR="002411D3">
        <w:rPr>
          <w:sz w:val="24"/>
          <w:szCs w:val="24"/>
        </w:rPr>
        <w:t xml:space="preserve">system challenges, workers must </w:t>
      </w:r>
      <w:r w:rsidR="000B0A26">
        <w:rPr>
          <w:sz w:val="24"/>
          <w:szCs w:val="24"/>
        </w:rPr>
        <w:t xml:space="preserve">also </w:t>
      </w:r>
      <w:r w:rsidR="002411D3">
        <w:rPr>
          <w:sz w:val="24"/>
          <w:szCs w:val="24"/>
        </w:rPr>
        <w:t>perform the ongoing work of child welfare, such as attending court hearings, entering data, coordinating with providers, preparing court reports and performing other administrative tasks.</w:t>
      </w:r>
    </w:p>
    <w:p w14:paraId="3539152A" w14:textId="77777777" w:rsidR="00FB52F5" w:rsidRDefault="00FB52F5" w:rsidP="00CB4A1B">
      <w:pPr>
        <w:pStyle w:val="NoSpacing"/>
        <w:rPr>
          <w:sz w:val="24"/>
          <w:szCs w:val="24"/>
        </w:rPr>
      </w:pPr>
    </w:p>
    <w:p w14:paraId="69EDB263" w14:textId="38631EF6" w:rsidR="002411D3" w:rsidRDefault="002411D3" w:rsidP="00CB4A1B">
      <w:pPr>
        <w:pStyle w:val="NoSpacing"/>
        <w:rPr>
          <w:sz w:val="24"/>
          <w:szCs w:val="24"/>
        </w:rPr>
      </w:pPr>
      <w:r>
        <w:rPr>
          <w:sz w:val="24"/>
          <w:szCs w:val="24"/>
        </w:rPr>
        <w:t xml:space="preserve">An unexpected practice, </w:t>
      </w:r>
      <w:r w:rsidR="000B0A26">
        <w:rPr>
          <w:sz w:val="24"/>
          <w:szCs w:val="24"/>
        </w:rPr>
        <w:t xml:space="preserve">largely </w:t>
      </w:r>
      <w:r>
        <w:rPr>
          <w:sz w:val="24"/>
          <w:szCs w:val="24"/>
        </w:rPr>
        <w:t>caused by the lack of placements, was identified by a number of staff.  According to retrospective data provided by the Division, between January 1, 2015 and mid-April, 2015, at least 22 children have spent at least one night in a DCFS office with a worker because no placement was available</w:t>
      </w:r>
      <w:r w:rsidR="007B24D4">
        <w:rPr>
          <w:sz w:val="24"/>
          <w:szCs w:val="24"/>
        </w:rPr>
        <w:t xml:space="preserve">.  In another manifestation of the placement crisis, in some offices placements are so limited that staff secure agreement from a number of foster parents to keep a child at least one night, after which the child is placed with a different foster parent until a more long-term placement can be found.  While this does not appear to be a routine practice, it occurs frequently enough that the Central office is seeking ways to limit it.  </w:t>
      </w:r>
      <w:r w:rsidR="00C503AC">
        <w:rPr>
          <w:sz w:val="24"/>
          <w:szCs w:val="24"/>
        </w:rPr>
        <w:t>The traumatic</w:t>
      </w:r>
      <w:r w:rsidR="007B24D4">
        <w:rPr>
          <w:sz w:val="24"/>
          <w:szCs w:val="24"/>
        </w:rPr>
        <w:t xml:space="preserve"> effect </w:t>
      </w:r>
      <w:r w:rsidR="00AD3023">
        <w:rPr>
          <w:sz w:val="24"/>
          <w:szCs w:val="24"/>
        </w:rPr>
        <w:t>these serial placement changes inflict</w:t>
      </w:r>
      <w:r w:rsidR="007B24D4">
        <w:rPr>
          <w:sz w:val="24"/>
          <w:szCs w:val="24"/>
        </w:rPr>
        <w:t xml:space="preserve"> on children is directly related to the lack of placements.</w:t>
      </w:r>
    </w:p>
    <w:p w14:paraId="5EE180C4" w14:textId="77777777" w:rsidR="007B24D4" w:rsidRDefault="007B24D4" w:rsidP="00CB4A1B">
      <w:pPr>
        <w:pStyle w:val="NoSpacing"/>
        <w:rPr>
          <w:sz w:val="24"/>
          <w:szCs w:val="24"/>
        </w:rPr>
      </w:pPr>
    </w:p>
    <w:p w14:paraId="0C15C243" w14:textId="3124001E" w:rsidR="007B24D4" w:rsidRDefault="007B24D4" w:rsidP="00CB4A1B">
      <w:pPr>
        <w:pStyle w:val="NoSpacing"/>
        <w:rPr>
          <w:sz w:val="24"/>
          <w:szCs w:val="24"/>
        </w:rPr>
      </w:pPr>
      <w:r>
        <w:rPr>
          <w:sz w:val="24"/>
          <w:szCs w:val="24"/>
        </w:rPr>
        <w:t xml:space="preserve">One </w:t>
      </w:r>
      <w:r w:rsidR="00AD3023">
        <w:rPr>
          <w:sz w:val="24"/>
          <w:szCs w:val="24"/>
        </w:rPr>
        <w:t xml:space="preserve">sympathetic </w:t>
      </w:r>
      <w:r>
        <w:rPr>
          <w:sz w:val="24"/>
          <w:szCs w:val="24"/>
        </w:rPr>
        <w:t xml:space="preserve">veteran </w:t>
      </w:r>
      <w:r w:rsidR="000B0A26">
        <w:rPr>
          <w:sz w:val="24"/>
          <w:szCs w:val="24"/>
        </w:rPr>
        <w:t xml:space="preserve">judicial </w:t>
      </w:r>
      <w:r>
        <w:rPr>
          <w:sz w:val="24"/>
          <w:szCs w:val="24"/>
        </w:rPr>
        <w:t>st</w:t>
      </w:r>
      <w:r w:rsidR="00AD3023">
        <w:rPr>
          <w:sz w:val="24"/>
          <w:szCs w:val="24"/>
        </w:rPr>
        <w:t>akeholder interviewed</w:t>
      </w:r>
      <w:r>
        <w:rPr>
          <w:sz w:val="24"/>
          <w:szCs w:val="24"/>
        </w:rPr>
        <w:t xml:space="preserve"> summed up the Arkansas child welfare environment as one in constant crisis, a status the system shares with many other child welfare systems in the country.  </w:t>
      </w:r>
      <w:r w:rsidR="00EE1DCA">
        <w:rPr>
          <w:sz w:val="24"/>
          <w:szCs w:val="24"/>
        </w:rPr>
        <w:t xml:space="preserve">He mentioned staff shortages, staff turnover, </w:t>
      </w:r>
      <w:r w:rsidR="00FE6996">
        <w:rPr>
          <w:sz w:val="24"/>
          <w:szCs w:val="24"/>
        </w:rPr>
        <w:t xml:space="preserve">inexperienced staff and </w:t>
      </w:r>
      <w:r w:rsidR="00EE1DCA">
        <w:rPr>
          <w:sz w:val="24"/>
          <w:szCs w:val="24"/>
        </w:rPr>
        <w:t>the lack of</w:t>
      </w:r>
      <w:r w:rsidR="00FE6996">
        <w:rPr>
          <w:sz w:val="24"/>
          <w:szCs w:val="24"/>
        </w:rPr>
        <w:t xml:space="preserve"> sufficient placements as stresses that contribute to the crisis-driven environment.</w:t>
      </w:r>
      <w:r w:rsidR="00EE1DCA">
        <w:rPr>
          <w:sz w:val="24"/>
          <w:szCs w:val="24"/>
        </w:rPr>
        <w:t xml:space="preserve">   He added that DCFS is highly risk-averse,</w:t>
      </w:r>
      <w:r w:rsidR="00AD3023">
        <w:rPr>
          <w:sz w:val="24"/>
          <w:szCs w:val="24"/>
        </w:rPr>
        <w:t xml:space="preserve"> for understandable reasons,</w:t>
      </w:r>
      <w:r w:rsidR="00EE1DCA">
        <w:rPr>
          <w:sz w:val="24"/>
          <w:szCs w:val="24"/>
        </w:rPr>
        <w:t xml:space="preserve"> which has driven the agency to attempt to control local practice and decision-making with a large number of policies, rules, compliance tracking and layers of approval</w:t>
      </w:r>
      <w:r w:rsidR="00FE6996">
        <w:rPr>
          <w:sz w:val="24"/>
          <w:szCs w:val="24"/>
        </w:rPr>
        <w:t xml:space="preserve">.  The result is a work setting in which </w:t>
      </w:r>
      <w:r w:rsidR="00AD3023">
        <w:rPr>
          <w:sz w:val="24"/>
          <w:szCs w:val="24"/>
        </w:rPr>
        <w:t xml:space="preserve">constant </w:t>
      </w:r>
      <w:r w:rsidR="00FE6996">
        <w:rPr>
          <w:sz w:val="24"/>
          <w:szCs w:val="24"/>
        </w:rPr>
        <w:t>compliance</w:t>
      </w:r>
      <w:r w:rsidR="00AD3023">
        <w:rPr>
          <w:sz w:val="24"/>
          <w:szCs w:val="24"/>
        </w:rPr>
        <w:t xml:space="preserve"> monitoring and the multiple layers of review and approval required for exceptions or reasonable deviation from standard are perc</w:t>
      </w:r>
      <w:r w:rsidR="003631D0">
        <w:rPr>
          <w:sz w:val="24"/>
          <w:szCs w:val="24"/>
        </w:rPr>
        <w:t>eived by staff as mistrust.  This</w:t>
      </w:r>
      <w:r w:rsidR="00AD3023">
        <w:rPr>
          <w:sz w:val="24"/>
          <w:szCs w:val="24"/>
        </w:rPr>
        <w:t xml:space="preserve"> stakeholder noted that staff turnover was no</w:t>
      </w:r>
      <w:r w:rsidR="000B0A26">
        <w:rPr>
          <w:sz w:val="24"/>
          <w:szCs w:val="24"/>
        </w:rPr>
        <w:t>t surprising, given the many stresses</w:t>
      </w:r>
      <w:r w:rsidR="005A7F04">
        <w:rPr>
          <w:sz w:val="24"/>
          <w:szCs w:val="24"/>
        </w:rPr>
        <w:t xml:space="preserve"> that diminish job satisfaction.</w:t>
      </w:r>
    </w:p>
    <w:p w14:paraId="39CA3CC3" w14:textId="77777777" w:rsidR="00FB52F5" w:rsidRDefault="00FB52F5" w:rsidP="00CB4A1B">
      <w:pPr>
        <w:pStyle w:val="NoSpacing"/>
        <w:rPr>
          <w:sz w:val="24"/>
          <w:szCs w:val="24"/>
        </w:rPr>
      </w:pPr>
    </w:p>
    <w:p w14:paraId="1E89D611" w14:textId="70EEFA78" w:rsidR="00FB52F5" w:rsidRDefault="00FB52F5" w:rsidP="00CB4A1B">
      <w:pPr>
        <w:pStyle w:val="NoSpacing"/>
        <w:rPr>
          <w:sz w:val="24"/>
          <w:szCs w:val="24"/>
        </w:rPr>
      </w:pPr>
      <w:r>
        <w:rPr>
          <w:sz w:val="24"/>
          <w:szCs w:val="24"/>
        </w:rPr>
        <w:t xml:space="preserve">In the face of these challenges, like all other states, DCFS maintains efforts to establish performance expectations for staff that are intended to produce appropriate and adequate practice.  DCFS regularly tracks staff and county performance </w:t>
      </w:r>
      <w:r w:rsidR="00AD3023">
        <w:rPr>
          <w:sz w:val="24"/>
          <w:szCs w:val="24"/>
        </w:rPr>
        <w:t>to make sure vital activities such as contacts with children and families, timely actions and development of case plans, for example</w:t>
      </w:r>
      <w:r w:rsidR="00CD14B3">
        <w:rPr>
          <w:sz w:val="24"/>
          <w:szCs w:val="24"/>
        </w:rPr>
        <w:t xml:space="preserve"> are conducted.  DCFS is attentive to risk for appropriate reasons and naturally tries to compensate for vulnerabilities such as inexperienced staff, high risk families and limited resources.  The challenge public child welfare systems face is creating balance between rules and flexibility.  In this regard, DCFS states that it is examining the compliance measures with the intent of limiting the number and focusing on the more important issues.</w:t>
      </w:r>
    </w:p>
    <w:p w14:paraId="7CE57B3C" w14:textId="77777777" w:rsidR="009C3BAE" w:rsidRDefault="009C3BAE" w:rsidP="00CB4A1B">
      <w:pPr>
        <w:pStyle w:val="NoSpacing"/>
        <w:rPr>
          <w:sz w:val="24"/>
          <w:szCs w:val="24"/>
        </w:rPr>
      </w:pPr>
    </w:p>
    <w:p w14:paraId="75AF56D9" w14:textId="77777777" w:rsidR="009C3BAE" w:rsidRDefault="009C3BAE" w:rsidP="009C3BAE">
      <w:pPr>
        <w:pStyle w:val="NoSpacing"/>
        <w:rPr>
          <w:b/>
          <w:i/>
          <w:sz w:val="24"/>
          <w:szCs w:val="24"/>
        </w:rPr>
      </w:pPr>
      <w:r>
        <w:rPr>
          <w:b/>
          <w:i/>
          <w:sz w:val="24"/>
          <w:szCs w:val="24"/>
        </w:rPr>
        <w:t>Front-Line Practice</w:t>
      </w:r>
    </w:p>
    <w:p w14:paraId="62A3A9C8" w14:textId="77777777" w:rsidR="009C3BAE" w:rsidRDefault="009C3BAE" w:rsidP="009C3BAE">
      <w:pPr>
        <w:pStyle w:val="NoSpacing"/>
        <w:rPr>
          <w:b/>
          <w:i/>
          <w:sz w:val="24"/>
          <w:szCs w:val="24"/>
        </w:rPr>
      </w:pPr>
    </w:p>
    <w:p w14:paraId="3BB54DAD" w14:textId="7FBC4FAC" w:rsidR="009C3BAE" w:rsidRDefault="009C3BAE" w:rsidP="009C3BAE">
      <w:pPr>
        <w:pStyle w:val="NoSpacing"/>
        <w:rPr>
          <w:sz w:val="24"/>
          <w:szCs w:val="24"/>
        </w:rPr>
      </w:pPr>
      <w:r>
        <w:rPr>
          <w:sz w:val="24"/>
          <w:szCs w:val="24"/>
        </w:rPr>
        <w:t>This report has spok</w:t>
      </w:r>
      <w:r w:rsidR="00686E11">
        <w:rPr>
          <w:sz w:val="24"/>
          <w:szCs w:val="24"/>
        </w:rPr>
        <w:t>en to the negative impact high caseloads</w:t>
      </w:r>
      <w:r>
        <w:rPr>
          <w:sz w:val="24"/>
          <w:szCs w:val="24"/>
        </w:rPr>
        <w:t xml:space="preserve"> have on DCFS performance; however one factor that needs additional attention is the nature of DCFS practice.  Nationally, there is a trend in child welfare for systems to create what is called a practice model.  A practice model is a written framework of values and </w:t>
      </w:r>
      <w:r w:rsidR="00686E11">
        <w:rPr>
          <w:sz w:val="24"/>
          <w:szCs w:val="24"/>
        </w:rPr>
        <w:t xml:space="preserve">practice </w:t>
      </w:r>
      <w:r>
        <w:rPr>
          <w:sz w:val="24"/>
          <w:szCs w:val="24"/>
        </w:rPr>
        <w:t xml:space="preserve">principles that </w:t>
      </w:r>
      <w:r w:rsidR="003631D0">
        <w:rPr>
          <w:sz w:val="24"/>
          <w:szCs w:val="24"/>
        </w:rPr>
        <w:t xml:space="preserve">is </w:t>
      </w:r>
      <w:r>
        <w:rPr>
          <w:sz w:val="24"/>
          <w:szCs w:val="24"/>
        </w:rPr>
        <w:t>based on best practice, evidence-based practice and promising practices</w:t>
      </w:r>
      <w:r w:rsidR="00686E11">
        <w:rPr>
          <w:sz w:val="24"/>
          <w:szCs w:val="24"/>
        </w:rPr>
        <w:t>.  The practice model should guide</w:t>
      </w:r>
      <w:r w:rsidR="003631D0">
        <w:rPr>
          <w:sz w:val="24"/>
          <w:szCs w:val="24"/>
        </w:rPr>
        <w:t xml:space="preserve"> all of the agency’s operations, including </w:t>
      </w:r>
      <w:r>
        <w:rPr>
          <w:sz w:val="24"/>
          <w:szCs w:val="24"/>
        </w:rPr>
        <w:t xml:space="preserve">policy, </w:t>
      </w:r>
      <w:r w:rsidR="003631D0">
        <w:rPr>
          <w:sz w:val="24"/>
          <w:szCs w:val="24"/>
        </w:rPr>
        <w:t xml:space="preserve">staff performance expectations, </w:t>
      </w:r>
      <w:r>
        <w:rPr>
          <w:sz w:val="24"/>
          <w:szCs w:val="24"/>
        </w:rPr>
        <w:t xml:space="preserve">training, resource design, contract expectations, monitoring and quality assurance and outcomes.  </w:t>
      </w:r>
    </w:p>
    <w:p w14:paraId="3571AE87" w14:textId="77777777" w:rsidR="009C3BAE" w:rsidRDefault="009C3BAE" w:rsidP="009C3BAE">
      <w:pPr>
        <w:pStyle w:val="NoSpacing"/>
        <w:rPr>
          <w:sz w:val="24"/>
          <w:szCs w:val="24"/>
        </w:rPr>
      </w:pPr>
    </w:p>
    <w:p w14:paraId="65415239" w14:textId="60D1B9EA" w:rsidR="009C3BAE" w:rsidRDefault="009C3BAE" w:rsidP="009C3BAE">
      <w:pPr>
        <w:pStyle w:val="NoSpacing"/>
        <w:rPr>
          <w:sz w:val="24"/>
          <w:szCs w:val="24"/>
        </w:rPr>
      </w:pPr>
      <w:r>
        <w:rPr>
          <w:sz w:val="24"/>
          <w:szCs w:val="24"/>
        </w:rPr>
        <w:t xml:space="preserve">Without a coherent and faithfully applied practice model, front-line practice </w:t>
      </w:r>
      <w:r w:rsidR="003631D0">
        <w:rPr>
          <w:sz w:val="24"/>
          <w:szCs w:val="24"/>
        </w:rPr>
        <w:t>can</w:t>
      </w:r>
      <w:r>
        <w:rPr>
          <w:sz w:val="24"/>
          <w:szCs w:val="24"/>
        </w:rPr>
        <w:t xml:space="preserve"> </w:t>
      </w:r>
      <w:r w:rsidR="00B362CB">
        <w:rPr>
          <w:sz w:val="24"/>
          <w:szCs w:val="24"/>
        </w:rPr>
        <w:t xml:space="preserve">be </w:t>
      </w:r>
      <w:r>
        <w:rPr>
          <w:sz w:val="24"/>
          <w:szCs w:val="24"/>
        </w:rPr>
        <w:t>driven by crises, individual practitioner values, custom and the latest initiative instead of carefully designed practice.  DCFS has a basic practice model, but its detail is limited, making it difficult to apply operationally.  An example of the principles that might be included in Arkansas’</w:t>
      </w:r>
      <w:r w:rsidR="005A7F04">
        <w:rPr>
          <w:sz w:val="24"/>
          <w:szCs w:val="24"/>
        </w:rPr>
        <w:t xml:space="preserve"> child welfare practice model is</w:t>
      </w:r>
      <w:r>
        <w:rPr>
          <w:sz w:val="24"/>
          <w:szCs w:val="24"/>
        </w:rPr>
        <w:t xml:space="preserve"> included in the appendix.</w:t>
      </w:r>
    </w:p>
    <w:p w14:paraId="15FC451A" w14:textId="77777777" w:rsidR="009C3BAE" w:rsidRDefault="009C3BAE" w:rsidP="009C3BAE">
      <w:pPr>
        <w:pStyle w:val="NoSpacing"/>
        <w:rPr>
          <w:sz w:val="24"/>
          <w:szCs w:val="24"/>
        </w:rPr>
      </w:pPr>
    </w:p>
    <w:p w14:paraId="0AB5A609" w14:textId="02C18F58" w:rsidR="009C3BAE" w:rsidRDefault="009C3BAE" w:rsidP="00CB4A1B">
      <w:pPr>
        <w:pStyle w:val="NoSpacing"/>
        <w:rPr>
          <w:sz w:val="24"/>
          <w:szCs w:val="24"/>
        </w:rPr>
      </w:pPr>
      <w:r>
        <w:rPr>
          <w:sz w:val="24"/>
          <w:szCs w:val="24"/>
        </w:rPr>
        <w:t xml:space="preserve">Two critical elements of practice in particular, engaging families in planning and decision-making and assessing underlying child and family needs should be strengthened.   In group discussions with DCFS front-line staff, it became apparent that many staff either didn’t fully understand how to effectively engage families and identify underlying needs or stated “We don’t have time to fully listen to parents.”  </w:t>
      </w:r>
    </w:p>
    <w:p w14:paraId="77B0FDEA" w14:textId="77777777" w:rsidR="005B2058" w:rsidRDefault="005B2058" w:rsidP="00CB4A1B">
      <w:pPr>
        <w:pStyle w:val="NoSpacing"/>
        <w:rPr>
          <w:sz w:val="24"/>
          <w:szCs w:val="24"/>
        </w:rPr>
      </w:pPr>
    </w:p>
    <w:p w14:paraId="574F47B3" w14:textId="77777777" w:rsidR="001F5BE9" w:rsidRDefault="001F5BE9" w:rsidP="00CB4A1B">
      <w:pPr>
        <w:pStyle w:val="NoSpacing"/>
        <w:rPr>
          <w:sz w:val="24"/>
          <w:szCs w:val="24"/>
        </w:rPr>
      </w:pPr>
    </w:p>
    <w:p w14:paraId="177E7326" w14:textId="77777777" w:rsidR="001F5BE9" w:rsidRDefault="001F5BE9" w:rsidP="00CB4A1B">
      <w:pPr>
        <w:pStyle w:val="NoSpacing"/>
        <w:rPr>
          <w:sz w:val="24"/>
          <w:szCs w:val="24"/>
        </w:rPr>
      </w:pPr>
    </w:p>
    <w:p w14:paraId="69143977" w14:textId="77777777" w:rsidR="001F5BE9" w:rsidRDefault="001F5BE9" w:rsidP="00CB4A1B">
      <w:pPr>
        <w:pStyle w:val="NoSpacing"/>
        <w:rPr>
          <w:sz w:val="24"/>
          <w:szCs w:val="24"/>
        </w:rPr>
      </w:pPr>
    </w:p>
    <w:p w14:paraId="47ED8111" w14:textId="77777777" w:rsidR="001F5BE9" w:rsidRDefault="001F5BE9" w:rsidP="00CB4A1B">
      <w:pPr>
        <w:pStyle w:val="NoSpacing"/>
        <w:rPr>
          <w:sz w:val="24"/>
          <w:szCs w:val="24"/>
        </w:rPr>
      </w:pPr>
    </w:p>
    <w:p w14:paraId="7D7D4629" w14:textId="77777777" w:rsidR="001F5BE9" w:rsidRDefault="001F5BE9" w:rsidP="00CB4A1B">
      <w:pPr>
        <w:pStyle w:val="NoSpacing"/>
        <w:rPr>
          <w:sz w:val="24"/>
          <w:szCs w:val="24"/>
        </w:rPr>
      </w:pPr>
    </w:p>
    <w:p w14:paraId="49F97CB1" w14:textId="77777777" w:rsidR="001F5BE9" w:rsidRDefault="001F5BE9" w:rsidP="00CB4A1B">
      <w:pPr>
        <w:pStyle w:val="NoSpacing"/>
        <w:rPr>
          <w:sz w:val="24"/>
          <w:szCs w:val="24"/>
        </w:rPr>
      </w:pPr>
    </w:p>
    <w:p w14:paraId="5C09DF89" w14:textId="0BB90F84" w:rsidR="005B2058" w:rsidRDefault="005B2058" w:rsidP="009C3BAE">
      <w:pPr>
        <w:pStyle w:val="NoSpacing"/>
        <w:numPr>
          <w:ilvl w:val="0"/>
          <w:numId w:val="8"/>
        </w:numPr>
        <w:rPr>
          <w:b/>
          <w:sz w:val="28"/>
          <w:szCs w:val="28"/>
        </w:rPr>
      </w:pPr>
      <w:r w:rsidRPr="005B2058">
        <w:rPr>
          <w:b/>
          <w:sz w:val="28"/>
          <w:szCs w:val="28"/>
        </w:rPr>
        <w:t>R</w:t>
      </w:r>
      <w:r>
        <w:rPr>
          <w:b/>
          <w:sz w:val="28"/>
          <w:szCs w:val="28"/>
        </w:rPr>
        <w:t>esource Availability</w:t>
      </w:r>
    </w:p>
    <w:p w14:paraId="2E99D6A5" w14:textId="77777777" w:rsidR="0060678A" w:rsidRDefault="0060678A" w:rsidP="00CB4A1B">
      <w:pPr>
        <w:pStyle w:val="NoSpacing"/>
        <w:rPr>
          <w:b/>
          <w:sz w:val="28"/>
          <w:szCs w:val="28"/>
        </w:rPr>
      </w:pPr>
    </w:p>
    <w:p w14:paraId="5ECC31DC" w14:textId="1AE99E21" w:rsidR="0060678A" w:rsidRPr="0060678A" w:rsidRDefault="0060678A" w:rsidP="00CB4A1B">
      <w:pPr>
        <w:pStyle w:val="NoSpacing"/>
        <w:rPr>
          <w:b/>
          <w:i/>
          <w:sz w:val="24"/>
          <w:szCs w:val="24"/>
        </w:rPr>
      </w:pPr>
      <w:r w:rsidRPr="0060678A">
        <w:rPr>
          <w:b/>
          <w:i/>
          <w:sz w:val="24"/>
          <w:szCs w:val="24"/>
        </w:rPr>
        <w:t>Placements</w:t>
      </w:r>
    </w:p>
    <w:p w14:paraId="28E5F9C2" w14:textId="77777777" w:rsidR="007E28E9" w:rsidRDefault="007E28E9" w:rsidP="00CB4A1B">
      <w:pPr>
        <w:pStyle w:val="NoSpacing"/>
      </w:pPr>
    </w:p>
    <w:p w14:paraId="19AB4811" w14:textId="70CE8BCE" w:rsidR="00CB4A1B" w:rsidRDefault="00CD14B3" w:rsidP="00CB4A1B">
      <w:pPr>
        <w:pStyle w:val="NoSpacing"/>
        <w:rPr>
          <w:sz w:val="24"/>
          <w:szCs w:val="24"/>
        </w:rPr>
      </w:pPr>
      <w:r w:rsidRPr="00CE79C6">
        <w:rPr>
          <w:sz w:val="24"/>
          <w:szCs w:val="24"/>
        </w:rPr>
        <w:t>Limited</w:t>
      </w:r>
      <w:r w:rsidR="003631D0">
        <w:rPr>
          <w:sz w:val="24"/>
          <w:szCs w:val="24"/>
        </w:rPr>
        <w:t xml:space="preserve"> placement </w:t>
      </w:r>
      <w:r w:rsidRPr="00CE79C6">
        <w:rPr>
          <w:sz w:val="24"/>
          <w:szCs w:val="24"/>
        </w:rPr>
        <w:t>resources underlie many of the Division’s challenges.  Data and stakeholder input underscore the problems present</w:t>
      </w:r>
      <w:r w:rsidR="004346CE">
        <w:rPr>
          <w:sz w:val="24"/>
          <w:szCs w:val="24"/>
        </w:rPr>
        <w:t>ed</w:t>
      </w:r>
      <w:r w:rsidRPr="00CE79C6">
        <w:rPr>
          <w:sz w:val="24"/>
          <w:szCs w:val="24"/>
        </w:rPr>
        <w:t xml:space="preserve"> by the lack of placements.  This issue contributes to child </w:t>
      </w:r>
      <w:r w:rsidR="004346CE">
        <w:rPr>
          <w:sz w:val="24"/>
          <w:szCs w:val="24"/>
        </w:rPr>
        <w:t xml:space="preserve">trauma, </w:t>
      </w:r>
      <w:r w:rsidRPr="00CE79C6">
        <w:rPr>
          <w:sz w:val="24"/>
          <w:szCs w:val="24"/>
        </w:rPr>
        <w:t xml:space="preserve">instability, </w:t>
      </w:r>
      <w:r w:rsidR="004346CE">
        <w:rPr>
          <w:sz w:val="24"/>
          <w:szCs w:val="24"/>
        </w:rPr>
        <w:t>educational disruption, interruption of therapeutic relationship</w:t>
      </w:r>
      <w:r w:rsidR="003631D0">
        <w:rPr>
          <w:sz w:val="24"/>
          <w:szCs w:val="24"/>
        </w:rPr>
        <w:t>s</w:t>
      </w:r>
      <w:r w:rsidR="004346CE">
        <w:rPr>
          <w:sz w:val="24"/>
          <w:szCs w:val="24"/>
        </w:rPr>
        <w:t xml:space="preserve">, </w:t>
      </w:r>
      <w:r w:rsidRPr="00CE79C6">
        <w:rPr>
          <w:sz w:val="24"/>
          <w:szCs w:val="24"/>
        </w:rPr>
        <w:t>poor matching of children to caregiver capacit</w:t>
      </w:r>
      <w:r w:rsidR="004346CE">
        <w:rPr>
          <w:sz w:val="24"/>
          <w:szCs w:val="24"/>
        </w:rPr>
        <w:t xml:space="preserve">y and </w:t>
      </w:r>
      <w:r w:rsidR="003631D0">
        <w:rPr>
          <w:sz w:val="24"/>
          <w:szCs w:val="24"/>
        </w:rPr>
        <w:t xml:space="preserve">the </w:t>
      </w:r>
      <w:r w:rsidRPr="00CE79C6">
        <w:rPr>
          <w:sz w:val="24"/>
          <w:szCs w:val="24"/>
        </w:rPr>
        <w:t>loss of c</w:t>
      </w:r>
      <w:r w:rsidR="004346CE">
        <w:rPr>
          <w:sz w:val="24"/>
          <w:szCs w:val="24"/>
        </w:rPr>
        <w:t>onnection of children in care with</w:t>
      </w:r>
      <w:r w:rsidRPr="00CE79C6">
        <w:rPr>
          <w:sz w:val="24"/>
          <w:szCs w:val="24"/>
        </w:rPr>
        <w:t xml:space="preserve"> parents, siblings, school, community, friends and their caseworkers</w:t>
      </w:r>
      <w:r w:rsidR="003631D0">
        <w:rPr>
          <w:sz w:val="24"/>
          <w:szCs w:val="24"/>
        </w:rPr>
        <w:t xml:space="preserve">.  </w:t>
      </w:r>
      <w:r w:rsidR="00CE79C6">
        <w:rPr>
          <w:sz w:val="24"/>
          <w:szCs w:val="24"/>
        </w:rPr>
        <w:t xml:space="preserve">When children are placed significant distances from home, their permanency prospects are impaired as is their emotional-behavioral well-being.  </w:t>
      </w:r>
      <w:r w:rsidR="004C660F">
        <w:rPr>
          <w:sz w:val="24"/>
          <w:szCs w:val="24"/>
        </w:rPr>
        <w:t xml:space="preserve">Only 45 percent of children are currently placed in their home county.  </w:t>
      </w:r>
      <w:r w:rsidR="00CE79C6">
        <w:rPr>
          <w:sz w:val="24"/>
          <w:szCs w:val="24"/>
        </w:rPr>
        <w:t xml:space="preserve">As previously mentioned, distant placements also increase front-line staff workload.  The placement challenge needs to be one of the Division’s </w:t>
      </w:r>
      <w:r w:rsidR="004346CE">
        <w:rPr>
          <w:sz w:val="24"/>
          <w:szCs w:val="24"/>
        </w:rPr>
        <w:t>highest priorities</w:t>
      </w:r>
      <w:r w:rsidR="00CE79C6">
        <w:rPr>
          <w:sz w:val="24"/>
          <w:szCs w:val="24"/>
        </w:rPr>
        <w:t>.</w:t>
      </w:r>
    </w:p>
    <w:p w14:paraId="7E86E157" w14:textId="77777777" w:rsidR="00CE79C6" w:rsidRDefault="00CE79C6" w:rsidP="00CB4A1B">
      <w:pPr>
        <w:pStyle w:val="NoSpacing"/>
        <w:rPr>
          <w:sz w:val="24"/>
          <w:szCs w:val="24"/>
        </w:rPr>
      </w:pPr>
    </w:p>
    <w:p w14:paraId="1C510112" w14:textId="13248795" w:rsidR="00CE79C6" w:rsidRDefault="00CE79C6" w:rsidP="00CB4A1B">
      <w:pPr>
        <w:pStyle w:val="NoSpacing"/>
        <w:rPr>
          <w:sz w:val="24"/>
          <w:szCs w:val="24"/>
        </w:rPr>
      </w:pPr>
      <w:r>
        <w:rPr>
          <w:sz w:val="24"/>
          <w:szCs w:val="24"/>
        </w:rPr>
        <w:t>A crucial place to look for solutions</w:t>
      </w:r>
      <w:r w:rsidR="005C4987">
        <w:rPr>
          <w:sz w:val="24"/>
          <w:szCs w:val="24"/>
        </w:rPr>
        <w:t xml:space="preserve"> to the placement challenge</w:t>
      </w:r>
      <w:r>
        <w:rPr>
          <w:sz w:val="24"/>
          <w:szCs w:val="24"/>
        </w:rPr>
        <w:t xml:space="preserve"> is the </w:t>
      </w:r>
      <w:r w:rsidR="00686E11">
        <w:rPr>
          <w:sz w:val="24"/>
          <w:szCs w:val="24"/>
        </w:rPr>
        <w:t>use</w:t>
      </w:r>
      <w:r>
        <w:rPr>
          <w:sz w:val="24"/>
          <w:szCs w:val="24"/>
        </w:rPr>
        <w:t xml:space="preserve"> of relative placements and guardianships.</w:t>
      </w:r>
      <w:r w:rsidR="00F53B34">
        <w:rPr>
          <w:sz w:val="24"/>
          <w:szCs w:val="24"/>
        </w:rPr>
        <w:t xml:space="preserve"> </w:t>
      </w:r>
      <w:r w:rsidR="005C4987">
        <w:rPr>
          <w:sz w:val="24"/>
          <w:szCs w:val="24"/>
        </w:rPr>
        <w:t xml:space="preserve"> </w:t>
      </w:r>
      <w:r w:rsidR="004346CE">
        <w:rPr>
          <w:sz w:val="24"/>
          <w:szCs w:val="24"/>
        </w:rPr>
        <w:t xml:space="preserve">According to DCFS, </w:t>
      </w:r>
      <w:r w:rsidR="00686E11">
        <w:rPr>
          <w:sz w:val="24"/>
          <w:szCs w:val="24"/>
        </w:rPr>
        <w:t xml:space="preserve">only </w:t>
      </w:r>
      <w:r w:rsidR="005C4987">
        <w:rPr>
          <w:sz w:val="24"/>
          <w:szCs w:val="24"/>
        </w:rPr>
        <w:t>14 percent of children DCFS children out-of-home are placed in some form of relative care, 8 percent in licensed relative care and 6 percent in provisional relative care.</w:t>
      </w:r>
      <w:r w:rsidR="004346CE">
        <w:rPr>
          <w:sz w:val="24"/>
          <w:szCs w:val="24"/>
        </w:rPr>
        <w:t xml:space="preserve">  By comparison, according to the Annie E. Casey Foundation, percentages from surrounding states are:</w:t>
      </w:r>
    </w:p>
    <w:p w14:paraId="792EBD6A" w14:textId="77777777" w:rsidR="004346CE" w:rsidRDefault="004346CE" w:rsidP="00CB4A1B">
      <w:pPr>
        <w:pStyle w:val="NoSpacing"/>
        <w:rPr>
          <w:sz w:val="24"/>
          <w:szCs w:val="24"/>
        </w:rPr>
      </w:pPr>
    </w:p>
    <w:p w14:paraId="69C68758" w14:textId="2A1D2861" w:rsidR="004346CE" w:rsidRDefault="004346CE" w:rsidP="00CB4A1B">
      <w:pPr>
        <w:pStyle w:val="NoSpacing"/>
        <w:rPr>
          <w:sz w:val="24"/>
          <w:szCs w:val="24"/>
        </w:rPr>
      </w:pPr>
      <w:r>
        <w:rPr>
          <w:sz w:val="24"/>
          <w:szCs w:val="24"/>
        </w:rPr>
        <w:t>Louisiana 21%</w:t>
      </w:r>
    </w:p>
    <w:p w14:paraId="00431F87" w14:textId="30AC7D4C" w:rsidR="004346CE" w:rsidRDefault="004346CE" w:rsidP="00CB4A1B">
      <w:pPr>
        <w:pStyle w:val="NoSpacing"/>
        <w:rPr>
          <w:sz w:val="24"/>
          <w:szCs w:val="24"/>
        </w:rPr>
      </w:pPr>
      <w:r>
        <w:rPr>
          <w:sz w:val="24"/>
          <w:szCs w:val="24"/>
        </w:rPr>
        <w:t>Mississippi 26%</w:t>
      </w:r>
    </w:p>
    <w:p w14:paraId="385F076C" w14:textId="0C0C4D44" w:rsidR="004346CE" w:rsidRDefault="004346CE" w:rsidP="00CB4A1B">
      <w:pPr>
        <w:pStyle w:val="NoSpacing"/>
        <w:rPr>
          <w:sz w:val="24"/>
          <w:szCs w:val="24"/>
        </w:rPr>
      </w:pPr>
      <w:r w:rsidRPr="004346CE">
        <w:rPr>
          <w:sz w:val="24"/>
          <w:szCs w:val="24"/>
        </w:rPr>
        <w:t>Missouri 21%</w:t>
      </w:r>
    </w:p>
    <w:p w14:paraId="0451699D" w14:textId="2C9DFE8A" w:rsidR="004346CE" w:rsidRDefault="004346CE" w:rsidP="00CB4A1B">
      <w:pPr>
        <w:pStyle w:val="NoSpacing"/>
        <w:rPr>
          <w:sz w:val="24"/>
          <w:szCs w:val="24"/>
        </w:rPr>
      </w:pPr>
      <w:r>
        <w:rPr>
          <w:sz w:val="24"/>
          <w:szCs w:val="24"/>
        </w:rPr>
        <w:t>Oklahoma 29%</w:t>
      </w:r>
    </w:p>
    <w:p w14:paraId="424D5AB7" w14:textId="1E33642F" w:rsidR="004346CE" w:rsidRDefault="004346CE" w:rsidP="00CB4A1B">
      <w:pPr>
        <w:pStyle w:val="NoSpacing"/>
        <w:rPr>
          <w:sz w:val="24"/>
          <w:szCs w:val="24"/>
        </w:rPr>
      </w:pPr>
      <w:r>
        <w:rPr>
          <w:sz w:val="24"/>
          <w:szCs w:val="24"/>
        </w:rPr>
        <w:t>Texas 29%</w:t>
      </w:r>
    </w:p>
    <w:p w14:paraId="443AC8BA" w14:textId="77777777" w:rsidR="004346CE" w:rsidRDefault="004346CE" w:rsidP="00CB4A1B">
      <w:pPr>
        <w:pStyle w:val="NoSpacing"/>
        <w:rPr>
          <w:sz w:val="24"/>
          <w:szCs w:val="24"/>
        </w:rPr>
      </w:pPr>
    </w:p>
    <w:p w14:paraId="2037654F" w14:textId="2C986ADD" w:rsidR="006F52DA" w:rsidRDefault="005A7F04" w:rsidP="00CB4A1B">
      <w:pPr>
        <w:pStyle w:val="NoSpacing"/>
        <w:rPr>
          <w:sz w:val="24"/>
          <w:szCs w:val="24"/>
        </w:rPr>
      </w:pPr>
      <w:r>
        <w:rPr>
          <w:sz w:val="24"/>
          <w:szCs w:val="24"/>
        </w:rPr>
        <w:t>Ten states have</w:t>
      </w:r>
      <w:r w:rsidR="004346CE">
        <w:rPr>
          <w:sz w:val="24"/>
          <w:szCs w:val="24"/>
        </w:rPr>
        <w:t xml:space="preserve"> 30% or more children placed with relatives.</w:t>
      </w:r>
      <w:r w:rsidR="008B499C">
        <w:rPr>
          <w:sz w:val="24"/>
          <w:szCs w:val="24"/>
        </w:rPr>
        <w:t xml:space="preserve">  Stakeholders and DCFS note that there can be delays in initiating children’s Medicaid eligibility when children are returned home and i</w:t>
      </w:r>
      <w:r>
        <w:rPr>
          <w:sz w:val="24"/>
          <w:szCs w:val="24"/>
        </w:rPr>
        <w:t>n placements with relatives when</w:t>
      </w:r>
      <w:r w:rsidR="008B499C">
        <w:rPr>
          <w:sz w:val="24"/>
          <w:szCs w:val="24"/>
        </w:rPr>
        <w:t xml:space="preserve"> relatives have custody.  DCFS attributes this to ba</w:t>
      </w:r>
      <w:r w:rsidR="00682CD2">
        <w:rPr>
          <w:sz w:val="24"/>
          <w:szCs w:val="24"/>
        </w:rPr>
        <w:t>c</w:t>
      </w:r>
      <w:r w:rsidR="008B499C">
        <w:rPr>
          <w:sz w:val="24"/>
          <w:szCs w:val="24"/>
        </w:rPr>
        <w:t>klogs in</w:t>
      </w:r>
      <w:r w:rsidR="00682CD2">
        <w:rPr>
          <w:sz w:val="24"/>
          <w:szCs w:val="24"/>
        </w:rPr>
        <w:t xml:space="preserve"> processing eligibility.  Delays such as this can further limit </w:t>
      </w:r>
      <w:r>
        <w:rPr>
          <w:sz w:val="24"/>
          <w:szCs w:val="24"/>
        </w:rPr>
        <w:t>willingness of</w:t>
      </w:r>
      <w:r w:rsidR="00682CD2">
        <w:rPr>
          <w:sz w:val="24"/>
          <w:szCs w:val="24"/>
        </w:rPr>
        <w:t xml:space="preserve"> </w:t>
      </w:r>
      <w:r>
        <w:rPr>
          <w:sz w:val="24"/>
          <w:szCs w:val="24"/>
        </w:rPr>
        <w:t>relatives to serve as placement resources</w:t>
      </w:r>
      <w:r w:rsidR="00686E11">
        <w:rPr>
          <w:sz w:val="24"/>
          <w:szCs w:val="24"/>
        </w:rPr>
        <w:t>.</w:t>
      </w:r>
    </w:p>
    <w:p w14:paraId="7D470188" w14:textId="77777777" w:rsidR="0009130C" w:rsidRDefault="0009130C" w:rsidP="00CB4A1B">
      <w:pPr>
        <w:pStyle w:val="NoSpacing"/>
        <w:rPr>
          <w:sz w:val="24"/>
          <w:szCs w:val="24"/>
        </w:rPr>
      </w:pPr>
    </w:p>
    <w:p w14:paraId="2812C44E" w14:textId="6E4871A8" w:rsidR="0009130C" w:rsidRPr="004346CE" w:rsidRDefault="0009130C" w:rsidP="00CB4A1B">
      <w:pPr>
        <w:pStyle w:val="NoSpacing"/>
        <w:rPr>
          <w:sz w:val="24"/>
          <w:szCs w:val="24"/>
        </w:rPr>
      </w:pPr>
      <w:r>
        <w:rPr>
          <w:sz w:val="24"/>
          <w:szCs w:val="24"/>
        </w:rPr>
        <w:t xml:space="preserve">The guardianship option is seldom used according to stakeholders, but can be another </w:t>
      </w:r>
      <w:r w:rsidR="003631D0">
        <w:rPr>
          <w:sz w:val="24"/>
          <w:szCs w:val="24"/>
        </w:rPr>
        <w:t xml:space="preserve">useful </w:t>
      </w:r>
      <w:r>
        <w:rPr>
          <w:sz w:val="24"/>
          <w:szCs w:val="24"/>
        </w:rPr>
        <w:t>placement option.  Several stakeholders note</w:t>
      </w:r>
      <w:r w:rsidR="005A7F04">
        <w:rPr>
          <w:sz w:val="24"/>
          <w:szCs w:val="24"/>
        </w:rPr>
        <w:t>d</w:t>
      </w:r>
      <w:r>
        <w:rPr>
          <w:sz w:val="24"/>
          <w:szCs w:val="24"/>
        </w:rPr>
        <w:t xml:space="preserve"> that considerable time was required to secure approval for use of guardianships.</w:t>
      </w:r>
    </w:p>
    <w:p w14:paraId="2376CE2B" w14:textId="77777777" w:rsidR="00FE59D4" w:rsidRDefault="00FE59D4" w:rsidP="00CB4A1B">
      <w:pPr>
        <w:pStyle w:val="NoSpacing"/>
        <w:rPr>
          <w:color w:val="FF0000"/>
          <w:sz w:val="24"/>
          <w:szCs w:val="24"/>
        </w:rPr>
      </w:pPr>
    </w:p>
    <w:p w14:paraId="1FD002BE" w14:textId="0CDD010F" w:rsidR="00FE59D4" w:rsidRDefault="00FE59D4" w:rsidP="00CB4A1B">
      <w:pPr>
        <w:pStyle w:val="NoSpacing"/>
        <w:rPr>
          <w:sz w:val="24"/>
          <w:szCs w:val="24"/>
        </w:rPr>
      </w:pPr>
      <w:r>
        <w:rPr>
          <w:sz w:val="24"/>
          <w:szCs w:val="24"/>
        </w:rPr>
        <w:t>A significant expansion of family foster homes is also needed.  The curre</w:t>
      </w:r>
      <w:r w:rsidR="00B362CB">
        <w:rPr>
          <w:sz w:val="24"/>
          <w:szCs w:val="24"/>
        </w:rPr>
        <w:t>nt child-</w:t>
      </w:r>
      <w:r w:rsidR="005A7F04">
        <w:rPr>
          <w:sz w:val="24"/>
          <w:szCs w:val="24"/>
        </w:rPr>
        <w:t>to</w:t>
      </w:r>
      <w:r w:rsidR="00B362CB">
        <w:rPr>
          <w:sz w:val="24"/>
          <w:szCs w:val="24"/>
        </w:rPr>
        <w:t>-</w:t>
      </w:r>
      <w:r w:rsidR="005A7F04">
        <w:rPr>
          <w:sz w:val="24"/>
          <w:szCs w:val="24"/>
        </w:rPr>
        <w:t>placement bed ratio</w:t>
      </w:r>
      <w:r w:rsidR="003631D0">
        <w:rPr>
          <w:sz w:val="24"/>
          <w:szCs w:val="24"/>
        </w:rPr>
        <w:t xml:space="preserve"> is .66, meaning that for</w:t>
      </w:r>
      <w:r>
        <w:rPr>
          <w:sz w:val="24"/>
          <w:szCs w:val="24"/>
        </w:rPr>
        <w:t xml:space="preserve"> the 4</w:t>
      </w:r>
      <w:r w:rsidR="004C660F">
        <w:rPr>
          <w:sz w:val="24"/>
          <w:szCs w:val="24"/>
        </w:rPr>
        <w:t>,</w:t>
      </w:r>
      <w:r>
        <w:rPr>
          <w:sz w:val="24"/>
          <w:szCs w:val="24"/>
        </w:rPr>
        <w:t>095 children in care at the end of the 2</w:t>
      </w:r>
      <w:r w:rsidRPr="00FE59D4">
        <w:rPr>
          <w:sz w:val="24"/>
          <w:szCs w:val="24"/>
          <w:vertAlign w:val="superscript"/>
        </w:rPr>
        <w:t>nd</w:t>
      </w:r>
      <w:r>
        <w:rPr>
          <w:sz w:val="24"/>
          <w:szCs w:val="24"/>
        </w:rPr>
        <w:t xml:space="preserve"> quarter of 2015, </w:t>
      </w:r>
      <w:r w:rsidR="004C660F">
        <w:rPr>
          <w:sz w:val="24"/>
          <w:szCs w:val="24"/>
        </w:rPr>
        <w:t>only 2,716 family foster home beds were available.  DCFS sought the Diligent Recruitment grant as a strategy to increase the number of foster home beds; however the slow start-up period</w:t>
      </w:r>
      <w:r w:rsidR="005A7F04">
        <w:rPr>
          <w:sz w:val="24"/>
          <w:szCs w:val="24"/>
        </w:rPr>
        <w:t xml:space="preserve"> of the initiative</w:t>
      </w:r>
      <w:r w:rsidR="004C660F">
        <w:rPr>
          <w:sz w:val="24"/>
          <w:szCs w:val="24"/>
        </w:rPr>
        <w:t xml:space="preserve"> has undermine</w:t>
      </w:r>
      <w:r w:rsidR="005A7F04">
        <w:rPr>
          <w:sz w:val="24"/>
          <w:szCs w:val="24"/>
        </w:rPr>
        <w:t>d the utility of this effort</w:t>
      </w:r>
      <w:r w:rsidR="004C660F">
        <w:rPr>
          <w:sz w:val="24"/>
          <w:szCs w:val="24"/>
        </w:rPr>
        <w:t>.  The initiative created a state-level team of Family Engagement Specialists which replaced local staff who carried these duties, based on the assumption that the new staff would have more time and specialized marketing skills to devote to recruitment.  Difficulty in securing staff and other barriers slowed implementation and resulted in a large backlog of</w:t>
      </w:r>
      <w:r w:rsidR="00EC2600">
        <w:rPr>
          <w:sz w:val="24"/>
          <w:szCs w:val="24"/>
        </w:rPr>
        <w:t xml:space="preserve"> prospective foster parent inquires, applications and background clearances that the system couldn’t respond to in a timely manner.  DCFS states that the backlog has been almost eliminated at this point, but it is clear that transition issues heightened the placement challenge.</w:t>
      </w:r>
    </w:p>
    <w:p w14:paraId="5B84CD00" w14:textId="77777777" w:rsidR="00EC2600" w:rsidRDefault="00EC2600" w:rsidP="00CB4A1B">
      <w:pPr>
        <w:pStyle w:val="NoSpacing"/>
        <w:rPr>
          <w:sz w:val="24"/>
          <w:szCs w:val="24"/>
        </w:rPr>
      </w:pPr>
    </w:p>
    <w:p w14:paraId="3312F81A" w14:textId="27D03FA9" w:rsidR="00EC2600" w:rsidRDefault="00EC2600" w:rsidP="00CB4A1B">
      <w:pPr>
        <w:pStyle w:val="NoSpacing"/>
        <w:rPr>
          <w:sz w:val="24"/>
          <w:szCs w:val="24"/>
        </w:rPr>
      </w:pPr>
      <w:r>
        <w:rPr>
          <w:sz w:val="24"/>
          <w:szCs w:val="24"/>
        </w:rPr>
        <w:t>Local DCFS staff and some stakeholders were highly frustrated ove</w:t>
      </w:r>
      <w:r w:rsidR="00B362CB">
        <w:rPr>
          <w:sz w:val="24"/>
          <w:szCs w:val="24"/>
        </w:rPr>
        <w:t>r these delays</w:t>
      </w:r>
      <w:r>
        <w:rPr>
          <w:sz w:val="24"/>
          <w:szCs w:val="24"/>
        </w:rPr>
        <w:t xml:space="preserve"> which</w:t>
      </w:r>
      <w:r w:rsidR="00682CD2">
        <w:rPr>
          <w:sz w:val="24"/>
          <w:szCs w:val="24"/>
        </w:rPr>
        <w:t>,</w:t>
      </w:r>
      <w:r>
        <w:rPr>
          <w:sz w:val="24"/>
          <w:szCs w:val="24"/>
        </w:rPr>
        <w:t xml:space="preserve"> unfortunately</w:t>
      </w:r>
      <w:r w:rsidR="00682CD2">
        <w:rPr>
          <w:sz w:val="24"/>
          <w:szCs w:val="24"/>
        </w:rPr>
        <w:t>,</w:t>
      </w:r>
      <w:r>
        <w:rPr>
          <w:sz w:val="24"/>
          <w:szCs w:val="24"/>
        </w:rPr>
        <w:t xml:space="preserve"> </w:t>
      </w:r>
      <w:r w:rsidR="008B499C">
        <w:rPr>
          <w:sz w:val="24"/>
          <w:szCs w:val="24"/>
        </w:rPr>
        <w:t xml:space="preserve">further </w:t>
      </w:r>
      <w:r>
        <w:rPr>
          <w:sz w:val="24"/>
          <w:szCs w:val="24"/>
        </w:rPr>
        <w:t>undermined relationships between the Division and some crucial stakeholders, especially those in the faith community.  Another source of tension between DCFS and some stakeholders is the DCFS decision to suspend licensing of respite foster homes.  DCFC explains that it did so because of the practice of front-line staff in making serial placements in different resp</w:t>
      </w:r>
      <w:r w:rsidR="00686E11">
        <w:rPr>
          <w:sz w:val="24"/>
          <w:szCs w:val="24"/>
        </w:rPr>
        <w:t>ite homes because there were no</w:t>
      </w:r>
      <w:r>
        <w:rPr>
          <w:sz w:val="24"/>
          <w:szCs w:val="24"/>
        </w:rPr>
        <w:t xml:space="preserve"> traditional foster homes available.  This, in the Division’s opinion, has the undesirable effect of increasing the incidence of multiple placements.</w:t>
      </w:r>
      <w:r w:rsidR="00606D02">
        <w:rPr>
          <w:sz w:val="24"/>
          <w:szCs w:val="24"/>
        </w:rPr>
        <w:t xml:space="preserve">  DCFS notes that there are flexible policies for foster parents related to using family and friends for very short-term “respite”.  </w:t>
      </w:r>
    </w:p>
    <w:p w14:paraId="42EDB1EA" w14:textId="77777777" w:rsidR="00606D02" w:rsidRDefault="00606D02" w:rsidP="00CB4A1B">
      <w:pPr>
        <w:pStyle w:val="NoSpacing"/>
        <w:rPr>
          <w:sz w:val="24"/>
          <w:szCs w:val="24"/>
        </w:rPr>
      </w:pPr>
    </w:p>
    <w:p w14:paraId="2D59ABA1" w14:textId="7B27104E" w:rsidR="00606D02" w:rsidRDefault="00606D02" w:rsidP="00CB4A1B">
      <w:pPr>
        <w:pStyle w:val="NoSpacing"/>
        <w:rPr>
          <w:sz w:val="24"/>
          <w:szCs w:val="24"/>
        </w:rPr>
      </w:pPr>
      <w:r>
        <w:rPr>
          <w:sz w:val="24"/>
          <w:szCs w:val="24"/>
        </w:rPr>
        <w:t xml:space="preserve">From a national perspective, respite is seen not only as a valuable foster home retention tool, providing stressed caregivers with a break from parenting without </w:t>
      </w:r>
      <w:r w:rsidR="001A1B14">
        <w:rPr>
          <w:sz w:val="24"/>
          <w:szCs w:val="24"/>
        </w:rPr>
        <w:t>having to ask for help from friends and family.  It can also serve as a recruitment tool, permitting new foster parents an opportunity to test and practice their fostering skills over a limited time period before committing to caring for children over the longer term.</w:t>
      </w:r>
    </w:p>
    <w:p w14:paraId="04B21500" w14:textId="77777777" w:rsidR="005C135B" w:rsidRDefault="005C135B" w:rsidP="00CB4A1B">
      <w:pPr>
        <w:pStyle w:val="NoSpacing"/>
        <w:rPr>
          <w:sz w:val="24"/>
          <w:szCs w:val="24"/>
        </w:rPr>
      </w:pPr>
    </w:p>
    <w:p w14:paraId="3EDC6389" w14:textId="24A97F57" w:rsidR="005C135B" w:rsidRDefault="005C135B" w:rsidP="00CB4A1B">
      <w:pPr>
        <w:pStyle w:val="NoSpacing"/>
        <w:rPr>
          <w:sz w:val="24"/>
          <w:szCs w:val="24"/>
        </w:rPr>
      </w:pPr>
      <w:r>
        <w:rPr>
          <w:sz w:val="24"/>
          <w:szCs w:val="24"/>
        </w:rPr>
        <w:t>Foster parent retention is also critical to having sufficient placement resources.  For the last four quarters, DCFS has experienced no net gain in family foster homes.  For three of the past four quarters, DCFS lost more homes that it gained.  In the 2</w:t>
      </w:r>
      <w:r w:rsidRPr="00104CBC">
        <w:rPr>
          <w:sz w:val="24"/>
          <w:szCs w:val="24"/>
          <w:vertAlign w:val="superscript"/>
        </w:rPr>
        <w:t>nd</w:t>
      </w:r>
      <w:r>
        <w:rPr>
          <w:sz w:val="24"/>
          <w:szCs w:val="24"/>
        </w:rPr>
        <w:t xml:space="preserve"> quarter of 2015, it gained 122 homes and lost 138 homes.  </w:t>
      </w:r>
      <w:r w:rsidR="0009130C">
        <w:rPr>
          <w:sz w:val="24"/>
          <w:szCs w:val="24"/>
        </w:rPr>
        <w:t xml:space="preserve">Foster parents report that having a child placed in their home from a distant county </w:t>
      </w:r>
      <w:r w:rsidR="00686E11">
        <w:rPr>
          <w:sz w:val="24"/>
          <w:szCs w:val="24"/>
        </w:rPr>
        <w:t>makes it difficult</w:t>
      </w:r>
      <w:r w:rsidR="0009130C">
        <w:rPr>
          <w:sz w:val="24"/>
          <w:szCs w:val="24"/>
        </w:rPr>
        <w:t xml:space="preserve"> </w:t>
      </w:r>
      <w:r w:rsidR="00B362CB">
        <w:rPr>
          <w:sz w:val="24"/>
          <w:szCs w:val="24"/>
        </w:rPr>
        <w:t xml:space="preserve">to </w:t>
      </w:r>
      <w:r w:rsidR="0009130C">
        <w:rPr>
          <w:sz w:val="24"/>
          <w:szCs w:val="24"/>
        </w:rPr>
        <w:t>address issues experienced by children in their care</w:t>
      </w:r>
      <w:r w:rsidR="00686E11">
        <w:rPr>
          <w:sz w:val="24"/>
          <w:szCs w:val="24"/>
        </w:rPr>
        <w:t xml:space="preserve"> because workers are </w:t>
      </w:r>
      <w:r w:rsidR="003631D0">
        <w:rPr>
          <w:sz w:val="24"/>
          <w:szCs w:val="24"/>
        </w:rPr>
        <w:t xml:space="preserve">less </w:t>
      </w:r>
      <w:r w:rsidR="00686E11">
        <w:rPr>
          <w:sz w:val="24"/>
          <w:szCs w:val="24"/>
        </w:rPr>
        <w:t>accessible</w:t>
      </w:r>
      <w:r w:rsidR="0009130C">
        <w:rPr>
          <w:sz w:val="24"/>
          <w:szCs w:val="24"/>
        </w:rPr>
        <w:t>.  This issue is becoming another reason for foster parents to drop out.</w:t>
      </w:r>
      <w:r>
        <w:rPr>
          <w:sz w:val="24"/>
          <w:szCs w:val="24"/>
        </w:rPr>
        <w:t xml:space="preserve"> </w:t>
      </w:r>
      <w:r w:rsidR="0009130C">
        <w:rPr>
          <w:sz w:val="24"/>
          <w:szCs w:val="24"/>
        </w:rPr>
        <w:t xml:space="preserve"> It </w:t>
      </w:r>
      <w:r>
        <w:rPr>
          <w:sz w:val="24"/>
          <w:szCs w:val="24"/>
        </w:rPr>
        <w:t>is important to note that losses in foster homes are not necessarily associated with dissatisfaction.  Some foster parents drop out due to changing family dynamics, job demands or adopting a child or children in their home.  However the difficulty in accessing appropriate mental health services for chil</w:t>
      </w:r>
      <w:r w:rsidR="0009130C">
        <w:rPr>
          <w:sz w:val="24"/>
          <w:szCs w:val="24"/>
        </w:rPr>
        <w:t>dren with behavioral issues was</w:t>
      </w:r>
      <w:r>
        <w:rPr>
          <w:sz w:val="24"/>
          <w:szCs w:val="24"/>
        </w:rPr>
        <w:t xml:space="preserve"> </w:t>
      </w:r>
      <w:r w:rsidR="000463D2">
        <w:rPr>
          <w:sz w:val="24"/>
          <w:szCs w:val="24"/>
        </w:rPr>
        <w:t>mentioned as major reason for foster parent frustrations.</w:t>
      </w:r>
    </w:p>
    <w:p w14:paraId="6E9EA90A" w14:textId="77777777" w:rsidR="001A1B14" w:rsidRDefault="001A1B14" w:rsidP="00CB4A1B">
      <w:pPr>
        <w:pStyle w:val="NoSpacing"/>
        <w:rPr>
          <w:sz w:val="24"/>
          <w:szCs w:val="24"/>
        </w:rPr>
      </w:pPr>
    </w:p>
    <w:p w14:paraId="57C7C716" w14:textId="58C8C24A" w:rsidR="001A1B14" w:rsidRDefault="001A1B14" w:rsidP="00CB4A1B">
      <w:pPr>
        <w:pStyle w:val="NoSpacing"/>
        <w:rPr>
          <w:sz w:val="24"/>
          <w:szCs w:val="24"/>
        </w:rPr>
      </w:pPr>
      <w:r>
        <w:rPr>
          <w:sz w:val="24"/>
          <w:szCs w:val="24"/>
        </w:rPr>
        <w:t>Some stakeholders and foster parents felt that the 12 week term for basic foster parent training offered by DCFS is an impediment to recruitment.  This involves weekly three-hour s</w:t>
      </w:r>
      <w:r w:rsidR="00686E11">
        <w:rPr>
          <w:sz w:val="24"/>
          <w:szCs w:val="24"/>
        </w:rPr>
        <w:t>essions.   They compared it with</w:t>
      </w:r>
      <w:r>
        <w:rPr>
          <w:sz w:val="24"/>
          <w:szCs w:val="24"/>
        </w:rPr>
        <w:t xml:space="preserve"> the training provided to foster parents recruited by The Call, a faith-based organization.  This training, which is said to contain the same content, occurs over one weekend.  Undoubtedly there are some trade-offs in the learning process when training sessions compressed </w:t>
      </w:r>
      <w:r w:rsidR="00686E11">
        <w:rPr>
          <w:sz w:val="24"/>
          <w:szCs w:val="24"/>
        </w:rPr>
        <w:t>in</w:t>
      </w:r>
      <w:r>
        <w:rPr>
          <w:sz w:val="24"/>
          <w:szCs w:val="24"/>
        </w:rPr>
        <w:t>to two long days.</w:t>
      </w:r>
      <w:r w:rsidR="005A7F04">
        <w:rPr>
          <w:sz w:val="24"/>
          <w:szCs w:val="24"/>
        </w:rPr>
        <w:t xml:space="preserve">  However the shortened schedule could make fostering more appealing.</w:t>
      </w:r>
    </w:p>
    <w:p w14:paraId="77550E14" w14:textId="77777777" w:rsidR="009C3BAE" w:rsidRDefault="009C3BAE" w:rsidP="00CB4A1B">
      <w:pPr>
        <w:pStyle w:val="NoSpacing"/>
        <w:rPr>
          <w:sz w:val="24"/>
          <w:szCs w:val="24"/>
        </w:rPr>
      </w:pPr>
    </w:p>
    <w:p w14:paraId="1CCBD332" w14:textId="77777777" w:rsidR="001F5BE9" w:rsidRDefault="001F5BE9" w:rsidP="009C3BAE">
      <w:pPr>
        <w:pStyle w:val="NoSpacing"/>
        <w:rPr>
          <w:b/>
          <w:i/>
          <w:sz w:val="24"/>
          <w:szCs w:val="24"/>
        </w:rPr>
      </w:pPr>
    </w:p>
    <w:p w14:paraId="5271F676" w14:textId="77777777" w:rsidR="001F5BE9" w:rsidRDefault="001F5BE9" w:rsidP="009C3BAE">
      <w:pPr>
        <w:pStyle w:val="NoSpacing"/>
        <w:rPr>
          <w:b/>
          <w:i/>
          <w:sz w:val="24"/>
          <w:szCs w:val="24"/>
        </w:rPr>
      </w:pPr>
    </w:p>
    <w:p w14:paraId="401440B0" w14:textId="77777777" w:rsidR="009C3BAE" w:rsidRPr="00FE59D4" w:rsidRDefault="009C3BAE" w:rsidP="009C3BAE">
      <w:pPr>
        <w:pStyle w:val="NoSpacing"/>
        <w:rPr>
          <w:b/>
          <w:i/>
          <w:sz w:val="24"/>
          <w:szCs w:val="24"/>
        </w:rPr>
      </w:pPr>
      <w:r w:rsidRPr="00FE59D4">
        <w:rPr>
          <w:b/>
          <w:i/>
          <w:sz w:val="24"/>
          <w:szCs w:val="24"/>
        </w:rPr>
        <w:t>Mental Health Services</w:t>
      </w:r>
    </w:p>
    <w:p w14:paraId="64026E9C" w14:textId="77777777" w:rsidR="009C3BAE" w:rsidRDefault="009C3BAE" w:rsidP="009C3BAE">
      <w:pPr>
        <w:pStyle w:val="NoSpacing"/>
        <w:rPr>
          <w:color w:val="FF0000"/>
          <w:sz w:val="24"/>
          <w:szCs w:val="24"/>
        </w:rPr>
      </w:pPr>
    </w:p>
    <w:p w14:paraId="3F2B7369" w14:textId="3C99A0D1" w:rsidR="009C3BAE" w:rsidRDefault="009C3BAE" w:rsidP="009C3BAE">
      <w:pPr>
        <w:pStyle w:val="NoSpacing"/>
        <w:rPr>
          <w:sz w:val="24"/>
          <w:szCs w:val="24"/>
        </w:rPr>
      </w:pPr>
      <w:r>
        <w:rPr>
          <w:sz w:val="24"/>
          <w:szCs w:val="24"/>
        </w:rPr>
        <w:t xml:space="preserve">Numerous staff and stakeholders identified </w:t>
      </w:r>
      <w:r w:rsidR="008526D7">
        <w:rPr>
          <w:sz w:val="24"/>
          <w:szCs w:val="24"/>
        </w:rPr>
        <w:t xml:space="preserve">the lack of </w:t>
      </w:r>
      <w:r>
        <w:rPr>
          <w:sz w:val="24"/>
          <w:szCs w:val="24"/>
        </w:rPr>
        <w:t>mental health services, especially high quality mental health services, as a barrier.  Rural areas were identified as the most underserved populations within Arkansas.  Foster parents and post-adoptive parents identified the limitations in access to mental health services as a major challenge.  DCFS staff and stakeholders noted that office-based mental health counseling, which is the predominate service available, is often not sufficient for high-need childr</w:t>
      </w:r>
      <w:r w:rsidR="005A7F04">
        <w:rPr>
          <w:sz w:val="24"/>
          <w:szCs w:val="24"/>
        </w:rPr>
        <w:t xml:space="preserve">en and youth.  Respondents stated </w:t>
      </w:r>
      <w:r>
        <w:rPr>
          <w:sz w:val="24"/>
          <w:szCs w:val="24"/>
        </w:rPr>
        <w:t xml:space="preserve">that </w:t>
      </w:r>
      <w:r w:rsidR="003631D0">
        <w:rPr>
          <w:sz w:val="24"/>
          <w:szCs w:val="24"/>
        </w:rPr>
        <w:t xml:space="preserve">some of </w:t>
      </w:r>
      <w:r>
        <w:rPr>
          <w:sz w:val="24"/>
          <w:szCs w:val="24"/>
        </w:rPr>
        <w:t xml:space="preserve">the most effective mental health interventions, </w:t>
      </w:r>
      <w:r w:rsidR="005A7F04">
        <w:rPr>
          <w:sz w:val="24"/>
          <w:szCs w:val="24"/>
        </w:rPr>
        <w:t xml:space="preserve">which are </w:t>
      </w:r>
      <w:r>
        <w:rPr>
          <w:sz w:val="24"/>
          <w:szCs w:val="24"/>
        </w:rPr>
        <w:t xml:space="preserve">highly individualized and intensive home-based mental health services, are particularly limited.  Wraparound serves are available on a modest basis and one </w:t>
      </w:r>
      <w:r w:rsidR="00B153F3">
        <w:rPr>
          <w:sz w:val="24"/>
          <w:szCs w:val="24"/>
        </w:rPr>
        <w:t>knowledgeable</w:t>
      </w:r>
      <w:r>
        <w:rPr>
          <w:sz w:val="24"/>
          <w:szCs w:val="24"/>
        </w:rPr>
        <w:t xml:space="preserve"> stakeholder noted that providers seem reluctant to develop the service.  </w:t>
      </w:r>
    </w:p>
    <w:p w14:paraId="00F76647" w14:textId="77777777" w:rsidR="009C3BAE" w:rsidRDefault="009C3BAE" w:rsidP="009C3BAE">
      <w:pPr>
        <w:pStyle w:val="NoSpacing"/>
        <w:rPr>
          <w:sz w:val="24"/>
          <w:szCs w:val="24"/>
        </w:rPr>
      </w:pPr>
    </w:p>
    <w:p w14:paraId="2E1B712F" w14:textId="34AD9EED" w:rsidR="009C3BAE" w:rsidRDefault="009C3BAE" w:rsidP="009C3BAE">
      <w:pPr>
        <w:pStyle w:val="NoSpacing"/>
        <w:rPr>
          <w:sz w:val="24"/>
          <w:szCs w:val="24"/>
        </w:rPr>
      </w:pPr>
      <w:r>
        <w:rPr>
          <w:sz w:val="24"/>
          <w:szCs w:val="24"/>
        </w:rPr>
        <w:t xml:space="preserve">There had been plans to expand mental health services through implementation of the Affordable Care Act, but those plans are now on hold.  </w:t>
      </w:r>
      <w:r w:rsidR="003631D0">
        <w:rPr>
          <w:sz w:val="24"/>
          <w:szCs w:val="24"/>
        </w:rPr>
        <w:t>Some m</w:t>
      </w:r>
      <w:r>
        <w:rPr>
          <w:sz w:val="24"/>
          <w:szCs w:val="24"/>
        </w:rPr>
        <w:t xml:space="preserve">ental health professionals stated that there was little attention to the development of evidence-based services and that more trauma-responsive services and mobile crisis services were needed.  </w:t>
      </w:r>
    </w:p>
    <w:p w14:paraId="6DD1E52D" w14:textId="77777777" w:rsidR="009C3BAE" w:rsidRDefault="009C3BAE" w:rsidP="009C3BAE">
      <w:pPr>
        <w:pStyle w:val="NoSpacing"/>
        <w:rPr>
          <w:sz w:val="24"/>
          <w:szCs w:val="24"/>
        </w:rPr>
      </w:pPr>
    </w:p>
    <w:p w14:paraId="2851D12B" w14:textId="77777777" w:rsidR="009C3BAE" w:rsidRDefault="009C3BAE" w:rsidP="009C3BAE">
      <w:pPr>
        <w:pStyle w:val="NoSpacing"/>
        <w:rPr>
          <w:sz w:val="24"/>
          <w:szCs w:val="24"/>
        </w:rPr>
      </w:pPr>
      <w:r>
        <w:rPr>
          <w:sz w:val="24"/>
          <w:szCs w:val="24"/>
        </w:rPr>
        <w:t>An issue that a number of DCFS staff mentioned as a challenge is disputes over authorization by Value Options for some mental health residential placements, where Value Options raises questions about medical necessity.  When Medicaid authorization is denied, DCFS has to cover costs for these cases entirely from its limited state dollars.  There are complex issues of policy and clinical judgement affecting decision-making in these cases, so the concerns of both parties deserve consideration.  Resolution will require high level discussions between DCFS, mental health and the Medicaid agency and ultimately, a broader mental health continuum of services that serves children in their own homes and communities.</w:t>
      </w:r>
    </w:p>
    <w:p w14:paraId="30CC2EE4" w14:textId="77777777" w:rsidR="00381DC5" w:rsidRDefault="00381DC5" w:rsidP="00CB4A1B">
      <w:pPr>
        <w:pStyle w:val="NoSpacing"/>
        <w:rPr>
          <w:sz w:val="24"/>
          <w:szCs w:val="24"/>
        </w:rPr>
      </w:pPr>
    </w:p>
    <w:p w14:paraId="242FB07B" w14:textId="15C422F9" w:rsidR="00381DC5" w:rsidRPr="0090677D" w:rsidRDefault="0090677D" w:rsidP="00CB4A1B">
      <w:pPr>
        <w:pStyle w:val="NoSpacing"/>
        <w:rPr>
          <w:b/>
          <w:i/>
          <w:sz w:val="24"/>
          <w:szCs w:val="24"/>
        </w:rPr>
      </w:pPr>
      <w:r w:rsidRPr="0090677D">
        <w:rPr>
          <w:b/>
          <w:i/>
          <w:sz w:val="24"/>
          <w:szCs w:val="24"/>
        </w:rPr>
        <w:t>DCFS Waiver</w:t>
      </w:r>
    </w:p>
    <w:p w14:paraId="2D686D71" w14:textId="77777777" w:rsidR="00FE59D4" w:rsidRDefault="00FE59D4" w:rsidP="00CB4A1B">
      <w:pPr>
        <w:pStyle w:val="NoSpacing"/>
        <w:rPr>
          <w:sz w:val="24"/>
          <w:szCs w:val="24"/>
        </w:rPr>
      </w:pPr>
    </w:p>
    <w:p w14:paraId="2A4B327B" w14:textId="13401A1E" w:rsidR="0090677D" w:rsidRDefault="0090677D" w:rsidP="00CB4A1B">
      <w:pPr>
        <w:pStyle w:val="NoSpacing"/>
        <w:rPr>
          <w:sz w:val="24"/>
          <w:szCs w:val="24"/>
        </w:rPr>
      </w:pPr>
      <w:r>
        <w:rPr>
          <w:sz w:val="24"/>
          <w:szCs w:val="24"/>
        </w:rPr>
        <w:t xml:space="preserve">The recent increase in the number of children in out-of-home care, if maintained at that level, could impact the Waiver.  DCFS reports that it is already </w:t>
      </w:r>
      <w:r w:rsidR="003631D0">
        <w:rPr>
          <w:sz w:val="24"/>
          <w:szCs w:val="24"/>
        </w:rPr>
        <w:t>limiti</w:t>
      </w:r>
      <w:r w:rsidR="00686E11">
        <w:rPr>
          <w:sz w:val="24"/>
          <w:szCs w:val="24"/>
        </w:rPr>
        <w:t>ng</w:t>
      </w:r>
      <w:r>
        <w:rPr>
          <w:sz w:val="24"/>
          <w:szCs w:val="24"/>
        </w:rPr>
        <w:t xml:space="preserve"> some elements of the Waiver </w:t>
      </w:r>
      <w:r w:rsidR="00686E11">
        <w:rPr>
          <w:sz w:val="24"/>
          <w:szCs w:val="24"/>
        </w:rPr>
        <w:t xml:space="preserve">implementation </w:t>
      </w:r>
      <w:r>
        <w:rPr>
          <w:sz w:val="24"/>
          <w:szCs w:val="24"/>
        </w:rPr>
        <w:t>because</w:t>
      </w:r>
      <w:r w:rsidR="00A05397">
        <w:rPr>
          <w:sz w:val="24"/>
          <w:szCs w:val="24"/>
        </w:rPr>
        <w:t xml:space="preserve"> of concerns about out-of-home costs exceeding the Waiver cap.  It is too early to fully assess the full impact of the caseload growth.</w:t>
      </w:r>
    </w:p>
    <w:p w14:paraId="09CC7023" w14:textId="77777777" w:rsidR="00A05397" w:rsidRDefault="00A05397" w:rsidP="00CB4A1B">
      <w:pPr>
        <w:pStyle w:val="NoSpacing"/>
        <w:rPr>
          <w:sz w:val="24"/>
          <w:szCs w:val="24"/>
        </w:rPr>
      </w:pPr>
    </w:p>
    <w:p w14:paraId="1A3B639E" w14:textId="49D5A90E" w:rsidR="00FE59D4" w:rsidRPr="009C3BAE" w:rsidRDefault="00FE59D4" w:rsidP="009C3BAE">
      <w:pPr>
        <w:pStyle w:val="NoSpacing"/>
        <w:numPr>
          <w:ilvl w:val="0"/>
          <w:numId w:val="8"/>
        </w:numPr>
        <w:rPr>
          <w:b/>
          <w:sz w:val="28"/>
          <w:szCs w:val="28"/>
        </w:rPr>
      </w:pPr>
      <w:r w:rsidRPr="009C3BAE">
        <w:rPr>
          <w:b/>
          <w:sz w:val="28"/>
          <w:szCs w:val="28"/>
        </w:rPr>
        <w:t>Workload</w:t>
      </w:r>
      <w:r w:rsidR="00686E11">
        <w:rPr>
          <w:b/>
          <w:sz w:val="28"/>
          <w:szCs w:val="28"/>
        </w:rPr>
        <w:t xml:space="preserve"> and Caseload</w:t>
      </w:r>
    </w:p>
    <w:p w14:paraId="2BA3738D" w14:textId="77777777" w:rsidR="00045D9A" w:rsidRDefault="00045D9A" w:rsidP="00CB4A1B">
      <w:pPr>
        <w:pStyle w:val="NoSpacing"/>
        <w:rPr>
          <w:b/>
          <w:i/>
          <w:sz w:val="24"/>
          <w:szCs w:val="24"/>
        </w:rPr>
      </w:pPr>
    </w:p>
    <w:p w14:paraId="25F71DF5" w14:textId="158701F4" w:rsidR="00296301" w:rsidRPr="00296301" w:rsidRDefault="00045D9A" w:rsidP="00CB4A1B">
      <w:pPr>
        <w:pStyle w:val="NoSpacing"/>
        <w:rPr>
          <w:sz w:val="24"/>
          <w:szCs w:val="24"/>
        </w:rPr>
      </w:pPr>
      <w:r>
        <w:rPr>
          <w:sz w:val="24"/>
          <w:szCs w:val="24"/>
        </w:rPr>
        <w:t>DCFS f</w:t>
      </w:r>
      <w:r w:rsidR="00296301">
        <w:rPr>
          <w:sz w:val="24"/>
          <w:szCs w:val="24"/>
        </w:rPr>
        <w:t>amily service work</w:t>
      </w:r>
      <w:r w:rsidR="00B362CB">
        <w:rPr>
          <w:sz w:val="24"/>
          <w:szCs w:val="24"/>
        </w:rPr>
        <w:t>er</w:t>
      </w:r>
      <w:r w:rsidR="00296301">
        <w:rPr>
          <w:sz w:val="24"/>
          <w:szCs w:val="24"/>
        </w:rPr>
        <w:t xml:space="preserve"> caseloads now</w:t>
      </w:r>
      <w:r>
        <w:rPr>
          <w:sz w:val="24"/>
          <w:szCs w:val="24"/>
        </w:rPr>
        <w:t xml:space="preserve"> average </w:t>
      </w:r>
      <w:r w:rsidR="005A7F04">
        <w:rPr>
          <w:sz w:val="24"/>
          <w:szCs w:val="24"/>
        </w:rPr>
        <w:t>28.96</w:t>
      </w:r>
      <w:r>
        <w:rPr>
          <w:sz w:val="24"/>
          <w:szCs w:val="24"/>
        </w:rPr>
        <w:t xml:space="preserve"> cases, compared to 24.7 in December 2014.  </w:t>
      </w:r>
      <w:r>
        <w:rPr>
          <w:color w:val="C00000"/>
          <w:sz w:val="24"/>
          <w:szCs w:val="24"/>
        </w:rPr>
        <w:t xml:space="preserve"> </w:t>
      </w:r>
      <w:r w:rsidR="00296301" w:rsidRPr="00296301">
        <w:rPr>
          <w:sz w:val="24"/>
          <w:szCs w:val="24"/>
        </w:rPr>
        <w:t>An analysis of DCFS local workload data shows the following:</w:t>
      </w:r>
    </w:p>
    <w:p w14:paraId="37B5BF65" w14:textId="77777777" w:rsidR="00296301" w:rsidRDefault="00296301" w:rsidP="00CB4A1B">
      <w:pPr>
        <w:pStyle w:val="NoSpacing"/>
        <w:rPr>
          <w:color w:val="C00000"/>
          <w:sz w:val="24"/>
          <w:szCs w:val="24"/>
        </w:rPr>
      </w:pPr>
    </w:p>
    <w:p w14:paraId="527C57AA" w14:textId="37124359" w:rsidR="00296301" w:rsidRPr="001F5BE9" w:rsidRDefault="00296301" w:rsidP="00CB4A1B">
      <w:pPr>
        <w:pStyle w:val="NoSpacing"/>
        <w:rPr>
          <w:sz w:val="20"/>
          <w:szCs w:val="20"/>
        </w:rPr>
      </w:pPr>
      <w:r w:rsidRPr="001F5BE9">
        <w:rPr>
          <w:sz w:val="20"/>
          <w:szCs w:val="20"/>
        </w:rPr>
        <w:t>Number of Counties with Average Workloads of 15 or less -</w:t>
      </w:r>
      <w:r w:rsidR="00D6551C" w:rsidRPr="001F5BE9">
        <w:rPr>
          <w:sz w:val="20"/>
          <w:szCs w:val="20"/>
        </w:rPr>
        <w:t xml:space="preserve">    9</w:t>
      </w:r>
    </w:p>
    <w:p w14:paraId="062C8BF2" w14:textId="1142D875" w:rsidR="00296301" w:rsidRPr="001F5BE9" w:rsidRDefault="00296301" w:rsidP="00296301">
      <w:pPr>
        <w:pStyle w:val="NoSpacing"/>
        <w:rPr>
          <w:sz w:val="20"/>
          <w:szCs w:val="20"/>
        </w:rPr>
      </w:pPr>
      <w:r w:rsidRPr="001F5BE9">
        <w:rPr>
          <w:sz w:val="20"/>
          <w:szCs w:val="20"/>
        </w:rPr>
        <w:t xml:space="preserve">Number of Counties with Average Workloads of 16-20      </w:t>
      </w:r>
      <w:r w:rsidR="00D6551C" w:rsidRPr="001F5BE9">
        <w:rPr>
          <w:sz w:val="20"/>
          <w:szCs w:val="20"/>
        </w:rPr>
        <w:t xml:space="preserve"> </w:t>
      </w:r>
      <w:r w:rsidRPr="001F5BE9">
        <w:rPr>
          <w:sz w:val="20"/>
          <w:szCs w:val="20"/>
        </w:rPr>
        <w:t xml:space="preserve"> -</w:t>
      </w:r>
      <w:r w:rsidR="00D6551C" w:rsidRPr="001F5BE9">
        <w:rPr>
          <w:sz w:val="20"/>
          <w:szCs w:val="20"/>
        </w:rPr>
        <w:t xml:space="preserve">  16</w:t>
      </w:r>
    </w:p>
    <w:p w14:paraId="76017C88" w14:textId="4C76AC69" w:rsidR="00296301" w:rsidRPr="001F5BE9" w:rsidRDefault="00296301" w:rsidP="00296301">
      <w:pPr>
        <w:pStyle w:val="NoSpacing"/>
        <w:rPr>
          <w:sz w:val="20"/>
          <w:szCs w:val="20"/>
        </w:rPr>
      </w:pPr>
      <w:r w:rsidRPr="001F5BE9">
        <w:rPr>
          <w:sz w:val="20"/>
          <w:szCs w:val="20"/>
        </w:rPr>
        <w:t xml:space="preserve">Number of Counties with Average Workloads of 21-25      </w:t>
      </w:r>
      <w:r w:rsidR="00D6551C" w:rsidRPr="001F5BE9">
        <w:rPr>
          <w:sz w:val="20"/>
          <w:szCs w:val="20"/>
        </w:rPr>
        <w:t xml:space="preserve"> </w:t>
      </w:r>
      <w:r w:rsidRPr="001F5BE9">
        <w:rPr>
          <w:sz w:val="20"/>
          <w:szCs w:val="20"/>
        </w:rPr>
        <w:t xml:space="preserve"> -</w:t>
      </w:r>
      <w:r w:rsidR="00D6551C" w:rsidRPr="001F5BE9">
        <w:rPr>
          <w:sz w:val="20"/>
          <w:szCs w:val="20"/>
        </w:rPr>
        <w:t xml:space="preserve">  28</w:t>
      </w:r>
    </w:p>
    <w:p w14:paraId="32136165" w14:textId="1A3DDA19" w:rsidR="00296301" w:rsidRPr="001F5BE9" w:rsidRDefault="00296301" w:rsidP="00296301">
      <w:pPr>
        <w:pStyle w:val="NoSpacing"/>
        <w:rPr>
          <w:sz w:val="20"/>
          <w:szCs w:val="20"/>
        </w:rPr>
      </w:pPr>
      <w:r w:rsidRPr="001F5BE9">
        <w:rPr>
          <w:sz w:val="20"/>
          <w:szCs w:val="20"/>
        </w:rPr>
        <w:t xml:space="preserve">Number of Counties with Average Workloads of 26-30      </w:t>
      </w:r>
      <w:r w:rsidR="00B362CB">
        <w:rPr>
          <w:sz w:val="20"/>
          <w:szCs w:val="20"/>
        </w:rPr>
        <w:t xml:space="preserve"> </w:t>
      </w:r>
      <w:r w:rsidRPr="001F5BE9">
        <w:rPr>
          <w:sz w:val="20"/>
          <w:szCs w:val="20"/>
        </w:rPr>
        <w:t xml:space="preserve"> -</w:t>
      </w:r>
      <w:r w:rsidR="00D6551C" w:rsidRPr="001F5BE9">
        <w:rPr>
          <w:sz w:val="20"/>
          <w:szCs w:val="20"/>
        </w:rPr>
        <w:t xml:space="preserve"> </w:t>
      </w:r>
      <w:r w:rsidR="00682CD2" w:rsidRPr="001F5BE9">
        <w:rPr>
          <w:sz w:val="20"/>
          <w:szCs w:val="20"/>
        </w:rPr>
        <w:t xml:space="preserve"> </w:t>
      </w:r>
      <w:r w:rsidR="00D6551C" w:rsidRPr="001F5BE9">
        <w:rPr>
          <w:sz w:val="20"/>
          <w:szCs w:val="20"/>
        </w:rPr>
        <w:t>12</w:t>
      </w:r>
    </w:p>
    <w:p w14:paraId="2C8C406D" w14:textId="51E4C108" w:rsidR="00296301" w:rsidRPr="001F5BE9" w:rsidRDefault="00296301" w:rsidP="00296301">
      <w:pPr>
        <w:pStyle w:val="NoSpacing"/>
        <w:rPr>
          <w:sz w:val="20"/>
          <w:szCs w:val="20"/>
        </w:rPr>
      </w:pPr>
      <w:r w:rsidRPr="001F5BE9">
        <w:rPr>
          <w:sz w:val="20"/>
          <w:szCs w:val="20"/>
        </w:rPr>
        <w:t xml:space="preserve">Number of Counties with Average Workloads of 31-40      </w:t>
      </w:r>
      <w:r w:rsidR="00B362CB">
        <w:rPr>
          <w:sz w:val="20"/>
          <w:szCs w:val="20"/>
        </w:rPr>
        <w:t xml:space="preserve"> </w:t>
      </w:r>
      <w:r w:rsidRPr="001F5BE9">
        <w:rPr>
          <w:sz w:val="20"/>
          <w:szCs w:val="20"/>
        </w:rPr>
        <w:t xml:space="preserve"> - </w:t>
      </w:r>
      <w:r w:rsidR="00D6551C" w:rsidRPr="001F5BE9">
        <w:rPr>
          <w:sz w:val="20"/>
          <w:szCs w:val="20"/>
        </w:rPr>
        <w:t xml:space="preserve"> </w:t>
      </w:r>
      <w:r w:rsidR="00682CD2" w:rsidRPr="001F5BE9">
        <w:rPr>
          <w:sz w:val="20"/>
          <w:szCs w:val="20"/>
        </w:rPr>
        <w:t xml:space="preserve"> </w:t>
      </w:r>
      <w:r w:rsidR="00D6551C" w:rsidRPr="001F5BE9">
        <w:rPr>
          <w:sz w:val="20"/>
          <w:szCs w:val="20"/>
        </w:rPr>
        <w:t xml:space="preserve"> 8</w:t>
      </w:r>
      <w:r w:rsidRPr="001F5BE9">
        <w:rPr>
          <w:sz w:val="20"/>
          <w:szCs w:val="20"/>
        </w:rPr>
        <w:t xml:space="preserve">   </w:t>
      </w:r>
    </w:p>
    <w:p w14:paraId="1B905C2F" w14:textId="4FCE227A" w:rsidR="00296301" w:rsidRPr="001F5BE9" w:rsidRDefault="00296301" w:rsidP="00296301">
      <w:pPr>
        <w:pStyle w:val="NoSpacing"/>
        <w:rPr>
          <w:sz w:val="20"/>
          <w:szCs w:val="20"/>
        </w:rPr>
      </w:pPr>
      <w:r w:rsidRPr="001F5BE9">
        <w:rPr>
          <w:sz w:val="20"/>
          <w:szCs w:val="20"/>
        </w:rPr>
        <w:t xml:space="preserve">Number of Counties with Average Workloads of 40 +         </w:t>
      </w:r>
      <w:r w:rsidR="00B362CB">
        <w:rPr>
          <w:sz w:val="20"/>
          <w:szCs w:val="20"/>
        </w:rPr>
        <w:t xml:space="preserve"> </w:t>
      </w:r>
      <w:r w:rsidRPr="001F5BE9">
        <w:rPr>
          <w:sz w:val="20"/>
          <w:szCs w:val="20"/>
        </w:rPr>
        <w:t xml:space="preserve"> -</w:t>
      </w:r>
      <w:r w:rsidR="00D6551C" w:rsidRPr="001F5BE9">
        <w:rPr>
          <w:sz w:val="20"/>
          <w:szCs w:val="20"/>
        </w:rPr>
        <w:t xml:space="preserve">  </w:t>
      </w:r>
      <w:r w:rsidR="00682CD2" w:rsidRPr="001F5BE9">
        <w:rPr>
          <w:sz w:val="20"/>
          <w:szCs w:val="20"/>
        </w:rPr>
        <w:t xml:space="preserve"> </w:t>
      </w:r>
      <w:r w:rsidR="00B362CB">
        <w:rPr>
          <w:sz w:val="20"/>
          <w:szCs w:val="20"/>
        </w:rPr>
        <w:t xml:space="preserve"> </w:t>
      </w:r>
      <w:r w:rsidR="00D6551C" w:rsidRPr="001F5BE9">
        <w:rPr>
          <w:sz w:val="20"/>
          <w:szCs w:val="20"/>
        </w:rPr>
        <w:t>4</w:t>
      </w:r>
    </w:p>
    <w:p w14:paraId="073BE3A9" w14:textId="77777777" w:rsidR="00296301" w:rsidRDefault="00296301" w:rsidP="00CB4A1B">
      <w:pPr>
        <w:pStyle w:val="NoSpacing"/>
        <w:rPr>
          <w:color w:val="C00000"/>
          <w:sz w:val="24"/>
          <w:szCs w:val="24"/>
        </w:rPr>
      </w:pPr>
    </w:p>
    <w:p w14:paraId="3894AD02" w14:textId="30E9508C" w:rsidR="00045D9A" w:rsidRDefault="00045D9A" w:rsidP="00CB4A1B">
      <w:pPr>
        <w:pStyle w:val="NoSpacing"/>
        <w:rPr>
          <w:color w:val="000000" w:themeColor="text1"/>
          <w:sz w:val="24"/>
          <w:szCs w:val="24"/>
        </w:rPr>
      </w:pPr>
      <w:r w:rsidRPr="00045D9A">
        <w:rPr>
          <w:color w:val="000000" w:themeColor="text1"/>
          <w:sz w:val="24"/>
          <w:szCs w:val="24"/>
        </w:rPr>
        <w:t>Child Welfare League of America</w:t>
      </w:r>
      <w:r>
        <w:rPr>
          <w:color w:val="000000" w:themeColor="text1"/>
          <w:sz w:val="24"/>
          <w:szCs w:val="24"/>
        </w:rPr>
        <w:t xml:space="preserve"> </w:t>
      </w:r>
      <w:r w:rsidR="00082975">
        <w:rPr>
          <w:color w:val="000000" w:themeColor="text1"/>
          <w:sz w:val="24"/>
          <w:szCs w:val="24"/>
        </w:rPr>
        <w:t xml:space="preserve">(CWLA) </w:t>
      </w:r>
      <w:r>
        <w:rPr>
          <w:color w:val="000000" w:themeColor="text1"/>
          <w:sz w:val="24"/>
          <w:szCs w:val="24"/>
        </w:rPr>
        <w:t xml:space="preserve">recommended standards are 15 cases per worker.  </w:t>
      </w:r>
      <w:r w:rsidR="003631D0">
        <w:rPr>
          <w:color w:val="000000" w:themeColor="text1"/>
          <w:sz w:val="24"/>
          <w:szCs w:val="24"/>
        </w:rPr>
        <w:t xml:space="preserve">Average caseloads in Arkansas are almost double the national standard.  </w:t>
      </w:r>
      <w:r>
        <w:rPr>
          <w:color w:val="000000" w:themeColor="text1"/>
          <w:sz w:val="24"/>
          <w:szCs w:val="24"/>
        </w:rPr>
        <w:t xml:space="preserve">By way of comparison, among states that have an established </w:t>
      </w:r>
      <w:r w:rsidR="00082975">
        <w:rPr>
          <w:color w:val="000000" w:themeColor="text1"/>
          <w:sz w:val="24"/>
          <w:szCs w:val="24"/>
        </w:rPr>
        <w:t xml:space="preserve">workload </w:t>
      </w:r>
      <w:r>
        <w:rPr>
          <w:color w:val="000000" w:themeColor="text1"/>
          <w:sz w:val="24"/>
          <w:szCs w:val="24"/>
        </w:rPr>
        <w:t>standard</w:t>
      </w:r>
      <w:r w:rsidR="00082975">
        <w:rPr>
          <w:color w:val="000000" w:themeColor="text1"/>
          <w:sz w:val="24"/>
          <w:szCs w:val="24"/>
        </w:rPr>
        <w:t xml:space="preserve"> consistent with CWLA recommendations</w:t>
      </w:r>
      <w:r>
        <w:rPr>
          <w:color w:val="000000" w:themeColor="text1"/>
          <w:sz w:val="24"/>
          <w:szCs w:val="24"/>
        </w:rPr>
        <w:t>, Oklahoma, New Jersey, and The District of Columbia</w:t>
      </w:r>
      <w:r w:rsidR="00082975">
        <w:rPr>
          <w:color w:val="000000" w:themeColor="text1"/>
          <w:sz w:val="24"/>
          <w:szCs w:val="24"/>
        </w:rPr>
        <w:t>, for example</w:t>
      </w:r>
      <w:r w:rsidR="00686E11">
        <w:rPr>
          <w:color w:val="000000" w:themeColor="text1"/>
          <w:sz w:val="24"/>
          <w:szCs w:val="24"/>
        </w:rPr>
        <w:t>,</w:t>
      </w:r>
      <w:r w:rsidR="00082975">
        <w:rPr>
          <w:color w:val="000000" w:themeColor="text1"/>
          <w:sz w:val="24"/>
          <w:szCs w:val="24"/>
        </w:rPr>
        <w:t xml:space="preserve"> </w:t>
      </w:r>
      <w:r>
        <w:rPr>
          <w:color w:val="000000" w:themeColor="text1"/>
          <w:sz w:val="24"/>
          <w:szCs w:val="24"/>
        </w:rPr>
        <w:t xml:space="preserve">all </w:t>
      </w:r>
      <w:r w:rsidR="00686E11">
        <w:rPr>
          <w:color w:val="000000" w:themeColor="text1"/>
          <w:sz w:val="24"/>
          <w:szCs w:val="24"/>
        </w:rPr>
        <w:t>operate within</w:t>
      </w:r>
      <w:r>
        <w:rPr>
          <w:color w:val="000000" w:themeColor="text1"/>
          <w:sz w:val="24"/>
          <w:szCs w:val="24"/>
        </w:rPr>
        <w:t xml:space="preserve"> the 15 cas</w:t>
      </w:r>
      <w:r w:rsidR="00082975">
        <w:rPr>
          <w:color w:val="000000" w:themeColor="text1"/>
          <w:sz w:val="24"/>
          <w:szCs w:val="24"/>
        </w:rPr>
        <w:t>es per worker standard</w:t>
      </w:r>
      <w:r w:rsidR="00686E11">
        <w:rPr>
          <w:color w:val="000000" w:themeColor="text1"/>
          <w:sz w:val="24"/>
          <w:szCs w:val="24"/>
        </w:rPr>
        <w:t>.</w:t>
      </w:r>
      <w:r w:rsidR="00082975">
        <w:rPr>
          <w:color w:val="000000" w:themeColor="text1"/>
          <w:sz w:val="24"/>
          <w:szCs w:val="24"/>
        </w:rPr>
        <w:t xml:space="preserve">  </w:t>
      </w:r>
      <w:r>
        <w:rPr>
          <w:color w:val="000000" w:themeColor="text1"/>
          <w:sz w:val="24"/>
          <w:szCs w:val="24"/>
        </w:rPr>
        <w:t xml:space="preserve">These states happen to be operating under class action settlement agreements.  </w:t>
      </w:r>
      <w:r w:rsidR="0087072A">
        <w:rPr>
          <w:color w:val="000000" w:themeColor="text1"/>
          <w:sz w:val="24"/>
          <w:szCs w:val="24"/>
        </w:rPr>
        <w:t xml:space="preserve">All but 9 </w:t>
      </w:r>
      <w:r w:rsidR="00CD1BCA">
        <w:rPr>
          <w:color w:val="000000" w:themeColor="text1"/>
          <w:sz w:val="24"/>
          <w:szCs w:val="24"/>
        </w:rPr>
        <w:t xml:space="preserve">Arkansas </w:t>
      </w:r>
      <w:r w:rsidR="0087072A">
        <w:rPr>
          <w:color w:val="000000" w:themeColor="text1"/>
          <w:sz w:val="24"/>
          <w:szCs w:val="24"/>
        </w:rPr>
        <w:t xml:space="preserve">counties have caseloads exceeding the 1/15 standard and 52 counties exceed the standard by more than 5 cases.  </w:t>
      </w:r>
      <w:r>
        <w:rPr>
          <w:color w:val="000000" w:themeColor="text1"/>
          <w:sz w:val="24"/>
          <w:szCs w:val="24"/>
        </w:rPr>
        <w:t xml:space="preserve">An average caseload of </w:t>
      </w:r>
      <w:r w:rsidR="00CD1BCA">
        <w:rPr>
          <w:color w:val="000000" w:themeColor="text1"/>
          <w:sz w:val="24"/>
          <w:szCs w:val="24"/>
        </w:rPr>
        <w:t xml:space="preserve">over 28 </w:t>
      </w:r>
      <w:r>
        <w:rPr>
          <w:color w:val="000000" w:themeColor="text1"/>
          <w:sz w:val="24"/>
          <w:szCs w:val="24"/>
        </w:rPr>
        <w:t xml:space="preserve">cases is particularly challenging for Arkansas because of the </w:t>
      </w:r>
      <w:r w:rsidR="00A23131">
        <w:rPr>
          <w:color w:val="000000" w:themeColor="text1"/>
          <w:sz w:val="24"/>
          <w:szCs w:val="24"/>
        </w:rPr>
        <w:t>travel necessitated by the n</w:t>
      </w:r>
      <w:r>
        <w:rPr>
          <w:color w:val="000000" w:themeColor="text1"/>
          <w:sz w:val="24"/>
          <w:szCs w:val="24"/>
        </w:rPr>
        <w:t>umber of children placed outside of their home county</w:t>
      </w:r>
      <w:r w:rsidR="00A23131">
        <w:rPr>
          <w:color w:val="000000" w:themeColor="text1"/>
          <w:sz w:val="24"/>
          <w:szCs w:val="24"/>
        </w:rPr>
        <w:t>.</w:t>
      </w:r>
    </w:p>
    <w:p w14:paraId="5A3AB4D7" w14:textId="77777777" w:rsidR="00A23131" w:rsidRDefault="00A23131" w:rsidP="00CB4A1B">
      <w:pPr>
        <w:pStyle w:val="NoSpacing"/>
        <w:rPr>
          <w:color w:val="000000" w:themeColor="text1"/>
          <w:sz w:val="24"/>
          <w:szCs w:val="24"/>
        </w:rPr>
      </w:pPr>
    </w:p>
    <w:p w14:paraId="507AE2D9" w14:textId="528EEA97" w:rsidR="00C350BE" w:rsidRDefault="00A23131" w:rsidP="00CB4A1B">
      <w:pPr>
        <w:pStyle w:val="NoSpacing"/>
        <w:rPr>
          <w:color w:val="000000" w:themeColor="text1"/>
          <w:sz w:val="24"/>
          <w:szCs w:val="24"/>
        </w:rPr>
      </w:pPr>
      <w:r>
        <w:rPr>
          <w:color w:val="000000" w:themeColor="text1"/>
          <w:sz w:val="24"/>
          <w:szCs w:val="24"/>
        </w:rPr>
        <w:t>It is not just DCFS front line staff who have high caseloads.  DHS legal staff, who represent DCFS in court, also have high caseloads and a high turnover rate.</w:t>
      </w:r>
      <w:r w:rsidR="000463D2">
        <w:rPr>
          <w:color w:val="000000" w:themeColor="text1"/>
          <w:sz w:val="24"/>
          <w:szCs w:val="24"/>
        </w:rPr>
        <w:t xml:space="preserve"> DHS attorneys average 96 cases each and have a 47 percent turnover rate.  The </w:t>
      </w:r>
      <w:r w:rsidR="00686E11">
        <w:rPr>
          <w:color w:val="000000" w:themeColor="text1"/>
          <w:sz w:val="24"/>
          <w:szCs w:val="24"/>
        </w:rPr>
        <w:t>American Bar Association</w:t>
      </w:r>
      <w:r w:rsidR="000463D2">
        <w:rPr>
          <w:color w:val="000000" w:themeColor="text1"/>
          <w:sz w:val="24"/>
          <w:szCs w:val="24"/>
        </w:rPr>
        <w:t xml:space="preserve"> recommends 60 cases as a standard.</w:t>
      </w:r>
      <w:r w:rsidR="00C350BE">
        <w:rPr>
          <w:color w:val="000000" w:themeColor="text1"/>
          <w:sz w:val="24"/>
          <w:szCs w:val="24"/>
        </w:rPr>
        <w:t xml:space="preserve"> </w:t>
      </w:r>
      <w:r w:rsidR="000463D2">
        <w:rPr>
          <w:color w:val="000000" w:themeColor="text1"/>
          <w:sz w:val="24"/>
          <w:szCs w:val="24"/>
        </w:rPr>
        <w:t>Many attorneys cover multiple counties</w:t>
      </w:r>
      <w:r w:rsidR="00C350BE">
        <w:rPr>
          <w:color w:val="000000" w:themeColor="text1"/>
          <w:sz w:val="24"/>
          <w:szCs w:val="24"/>
        </w:rPr>
        <w:t xml:space="preserve">.  There is only a single appellate attorney for the office.  DHS attorneys are also paid less than their attorney ad litem and parent attorney colleagues.  </w:t>
      </w:r>
    </w:p>
    <w:p w14:paraId="4060B3D6" w14:textId="77777777" w:rsidR="00C350BE" w:rsidRDefault="00C350BE" w:rsidP="00CB4A1B">
      <w:pPr>
        <w:pStyle w:val="NoSpacing"/>
        <w:rPr>
          <w:color w:val="000000" w:themeColor="text1"/>
          <w:sz w:val="24"/>
          <w:szCs w:val="24"/>
        </w:rPr>
      </w:pPr>
    </w:p>
    <w:p w14:paraId="25F4D7E2" w14:textId="3C001B99" w:rsidR="00A23131" w:rsidRDefault="00C350BE" w:rsidP="00CB4A1B">
      <w:pPr>
        <w:pStyle w:val="NoSpacing"/>
        <w:rPr>
          <w:color w:val="000000" w:themeColor="text1"/>
          <w:sz w:val="24"/>
          <w:szCs w:val="24"/>
        </w:rPr>
      </w:pPr>
      <w:r>
        <w:rPr>
          <w:color w:val="000000" w:themeColor="text1"/>
          <w:sz w:val="24"/>
          <w:szCs w:val="24"/>
        </w:rPr>
        <w:t>This review al</w:t>
      </w:r>
      <w:r w:rsidR="00274C1E">
        <w:rPr>
          <w:color w:val="000000" w:themeColor="text1"/>
          <w:sz w:val="24"/>
          <w:szCs w:val="24"/>
        </w:rPr>
        <w:t>so identified several recent statutory</w:t>
      </w:r>
      <w:r w:rsidR="009C3FB2">
        <w:rPr>
          <w:color w:val="000000" w:themeColor="text1"/>
          <w:sz w:val="24"/>
          <w:szCs w:val="24"/>
        </w:rPr>
        <w:t xml:space="preserve"> mandates</w:t>
      </w:r>
      <w:r w:rsidR="00274C1E">
        <w:rPr>
          <w:color w:val="000000" w:themeColor="text1"/>
          <w:sz w:val="24"/>
          <w:szCs w:val="24"/>
        </w:rPr>
        <w:t xml:space="preserve"> and interagency agreements that have a high potential for increasing </w:t>
      </w:r>
      <w:r w:rsidR="009C3FB2">
        <w:rPr>
          <w:color w:val="000000" w:themeColor="text1"/>
          <w:sz w:val="24"/>
          <w:szCs w:val="24"/>
        </w:rPr>
        <w:t>DCFS</w:t>
      </w:r>
      <w:r w:rsidR="00274C1E">
        <w:rPr>
          <w:color w:val="000000" w:themeColor="text1"/>
          <w:sz w:val="24"/>
          <w:szCs w:val="24"/>
        </w:rPr>
        <w:t xml:space="preserve"> workloads.  House Bill 1624, which passed in the </w:t>
      </w:r>
      <w:r w:rsidR="00C2201B">
        <w:rPr>
          <w:color w:val="000000" w:themeColor="text1"/>
          <w:sz w:val="24"/>
          <w:szCs w:val="24"/>
        </w:rPr>
        <w:t>last legislative session, sets out explicit</w:t>
      </w:r>
      <w:r w:rsidR="00A2640C">
        <w:rPr>
          <w:color w:val="000000" w:themeColor="text1"/>
          <w:sz w:val="24"/>
          <w:szCs w:val="24"/>
        </w:rPr>
        <w:t xml:space="preserve"> expectations</w:t>
      </w:r>
      <w:r>
        <w:rPr>
          <w:color w:val="000000" w:themeColor="text1"/>
          <w:sz w:val="24"/>
          <w:szCs w:val="24"/>
        </w:rPr>
        <w:t xml:space="preserve"> </w:t>
      </w:r>
      <w:r w:rsidR="00A2640C">
        <w:rPr>
          <w:color w:val="000000" w:themeColor="text1"/>
          <w:sz w:val="24"/>
          <w:szCs w:val="24"/>
        </w:rPr>
        <w:t xml:space="preserve">for placement of siblings together, contacts between siblings not placed together, sibling inclusion in case planning for other siblings, notice of placement changes to siblings, court reviews and other entitlements.  All of these are </w:t>
      </w:r>
      <w:r w:rsidR="006C4CD6">
        <w:rPr>
          <w:color w:val="000000" w:themeColor="text1"/>
          <w:sz w:val="24"/>
          <w:szCs w:val="24"/>
        </w:rPr>
        <w:t>important</w:t>
      </w:r>
      <w:r w:rsidR="00A2640C">
        <w:rPr>
          <w:color w:val="000000" w:themeColor="text1"/>
          <w:sz w:val="24"/>
          <w:szCs w:val="24"/>
        </w:rPr>
        <w:t xml:space="preserve"> to optimal well-being and should be a standard best-practice principle.</w:t>
      </w:r>
      <w:r w:rsidR="006C4CD6">
        <w:rPr>
          <w:color w:val="000000" w:themeColor="text1"/>
          <w:sz w:val="24"/>
          <w:szCs w:val="24"/>
        </w:rPr>
        <w:t xml:space="preserve">  However, now these issues will be subject to litigation and presumably contempt findings if provisions are not met.  Data presented previously demonstrates the difficulty DCFS </w:t>
      </w:r>
      <w:r w:rsidR="00864D83">
        <w:rPr>
          <w:color w:val="000000" w:themeColor="text1"/>
          <w:sz w:val="24"/>
          <w:szCs w:val="24"/>
        </w:rPr>
        <w:t>has in</w:t>
      </w:r>
      <w:r w:rsidR="00FD4FA0">
        <w:rPr>
          <w:color w:val="000000" w:themeColor="text1"/>
          <w:sz w:val="24"/>
          <w:szCs w:val="24"/>
        </w:rPr>
        <w:t xml:space="preserve"> </w:t>
      </w:r>
      <w:r w:rsidR="006C4CD6">
        <w:rPr>
          <w:color w:val="000000" w:themeColor="text1"/>
          <w:sz w:val="24"/>
          <w:szCs w:val="24"/>
        </w:rPr>
        <w:t>meeting some of its own performance standards due to workload, so it can be expected that it will struggle to meet some of these requirements as well.</w:t>
      </w:r>
    </w:p>
    <w:p w14:paraId="060EE5DC" w14:textId="77777777" w:rsidR="00A2640C" w:rsidRDefault="00A2640C" w:rsidP="00CB4A1B">
      <w:pPr>
        <w:pStyle w:val="NoSpacing"/>
        <w:rPr>
          <w:color w:val="000000" w:themeColor="text1"/>
          <w:sz w:val="24"/>
          <w:szCs w:val="24"/>
        </w:rPr>
      </w:pPr>
    </w:p>
    <w:p w14:paraId="382D63B3" w14:textId="75D501E4" w:rsidR="00082975" w:rsidRDefault="00A2640C" w:rsidP="00CB4A1B">
      <w:pPr>
        <w:pStyle w:val="NoSpacing"/>
        <w:rPr>
          <w:color w:val="000000" w:themeColor="text1"/>
          <w:sz w:val="24"/>
          <w:szCs w:val="24"/>
        </w:rPr>
      </w:pPr>
      <w:r>
        <w:rPr>
          <w:color w:val="000000" w:themeColor="text1"/>
          <w:sz w:val="24"/>
          <w:szCs w:val="24"/>
        </w:rPr>
        <w:t>Another provision</w:t>
      </w:r>
      <w:r w:rsidR="00CD1BCA">
        <w:rPr>
          <w:color w:val="000000" w:themeColor="text1"/>
          <w:sz w:val="24"/>
          <w:szCs w:val="24"/>
        </w:rPr>
        <w:t xml:space="preserve"> of </w:t>
      </w:r>
      <w:r w:rsidR="00082975">
        <w:rPr>
          <w:color w:val="000000" w:themeColor="text1"/>
          <w:sz w:val="24"/>
          <w:szCs w:val="24"/>
        </w:rPr>
        <w:t xml:space="preserve">HB 1624, </w:t>
      </w:r>
      <w:r>
        <w:rPr>
          <w:color w:val="000000" w:themeColor="text1"/>
          <w:sz w:val="24"/>
          <w:szCs w:val="24"/>
        </w:rPr>
        <w:t>require</w:t>
      </w:r>
      <w:r w:rsidR="003A4E9E">
        <w:rPr>
          <w:color w:val="000000" w:themeColor="text1"/>
          <w:sz w:val="24"/>
          <w:szCs w:val="24"/>
        </w:rPr>
        <w:t>s</w:t>
      </w:r>
      <w:r>
        <w:rPr>
          <w:color w:val="000000" w:themeColor="text1"/>
          <w:sz w:val="24"/>
          <w:szCs w:val="24"/>
        </w:rPr>
        <w:t xml:space="preserve"> DCFS to file a dependency-neglect</w:t>
      </w:r>
      <w:r w:rsidR="002D0B36">
        <w:rPr>
          <w:color w:val="000000" w:themeColor="text1"/>
          <w:sz w:val="24"/>
          <w:szCs w:val="24"/>
        </w:rPr>
        <w:t xml:space="preserve"> </w:t>
      </w:r>
      <w:r>
        <w:rPr>
          <w:color w:val="000000" w:themeColor="text1"/>
          <w:sz w:val="24"/>
          <w:szCs w:val="24"/>
        </w:rPr>
        <w:t>petition fo</w:t>
      </w:r>
      <w:r w:rsidR="002D0B36">
        <w:rPr>
          <w:color w:val="000000" w:themeColor="text1"/>
          <w:sz w:val="24"/>
          <w:szCs w:val="24"/>
        </w:rPr>
        <w:t>r any case where a protection plan</w:t>
      </w:r>
      <w:r w:rsidR="003A4E9E">
        <w:rPr>
          <w:color w:val="000000" w:themeColor="text1"/>
          <w:sz w:val="24"/>
          <w:szCs w:val="24"/>
        </w:rPr>
        <w:t xml:space="preserve"> is considered necessary to permit a child to remain safely at home</w:t>
      </w:r>
      <w:r w:rsidR="00C2201B">
        <w:rPr>
          <w:color w:val="000000" w:themeColor="text1"/>
          <w:sz w:val="24"/>
          <w:szCs w:val="24"/>
        </w:rPr>
        <w:t>.</w:t>
      </w:r>
      <w:r w:rsidR="003A4E9E">
        <w:rPr>
          <w:color w:val="000000" w:themeColor="text1"/>
          <w:sz w:val="24"/>
          <w:szCs w:val="24"/>
        </w:rPr>
        <w:t xml:space="preserve"> Prior to the Act’s effective date, DCFS did not present protection plans to the court for approval.  </w:t>
      </w:r>
      <w:r w:rsidR="00082975">
        <w:rPr>
          <w:color w:val="000000" w:themeColor="text1"/>
          <w:sz w:val="24"/>
          <w:szCs w:val="24"/>
        </w:rPr>
        <w:t>DCFS describes a protection plan as follows:</w:t>
      </w:r>
    </w:p>
    <w:p w14:paraId="5397B2D3" w14:textId="77777777" w:rsidR="00082975" w:rsidRDefault="00082975" w:rsidP="00CB4A1B">
      <w:pPr>
        <w:pStyle w:val="NoSpacing"/>
        <w:rPr>
          <w:color w:val="000000" w:themeColor="text1"/>
          <w:sz w:val="24"/>
          <w:szCs w:val="24"/>
        </w:rPr>
      </w:pPr>
    </w:p>
    <w:p w14:paraId="3B8A7015" w14:textId="77777777" w:rsidR="00082975" w:rsidRPr="00082975" w:rsidRDefault="00082975" w:rsidP="00082975">
      <w:pPr>
        <w:pStyle w:val="NormalWeb"/>
        <w:spacing w:before="0" w:beforeAutospacing="0" w:after="0" w:afterAutospacing="0"/>
        <w:ind w:left="432" w:right="432"/>
        <w:jc w:val="both"/>
        <w:rPr>
          <w:rFonts w:ascii="Calibri" w:hAnsi="Calibri"/>
          <w:color w:val="000000"/>
        </w:rPr>
      </w:pPr>
      <w:r w:rsidRPr="00082975">
        <w:rPr>
          <w:rFonts w:ascii="Calibri" w:hAnsi="Calibri"/>
          <w:color w:val="000000"/>
        </w:rPr>
        <w:t>When any safety factors are present, a protection plan must be developed to address each identified safety factor if the child will remain in the home. A protection plan is a written plan developed by DCFS staff in conjunction with the family to address identified safety factors. This documentation describing the actual use or consideration of using protecting interventions establishes reasonable efforts to prevent removal of the child from the home. </w:t>
      </w:r>
    </w:p>
    <w:p w14:paraId="48FAA667" w14:textId="77777777" w:rsidR="00082975" w:rsidRPr="00082975" w:rsidRDefault="00082975" w:rsidP="00082975">
      <w:pPr>
        <w:pStyle w:val="NormalWeb"/>
        <w:spacing w:before="0" w:beforeAutospacing="0" w:after="0" w:afterAutospacing="0"/>
        <w:ind w:left="432" w:right="432"/>
        <w:jc w:val="both"/>
        <w:rPr>
          <w:rFonts w:ascii="Calibri" w:hAnsi="Calibri"/>
          <w:color w:val="000000"/>
        </w:rPr>
      </w:pPr>
    </w:p>
    <w:p w14:paraId="52CE8FEA" w14:textId="77777777" w:rsidR="00082975" w:rsidRPr="00082975" w:rsidRDefault="00082975" w:rsidP="00082975">
      <w:pPr>
        <w:pStyle w:val="NormalWeb"/>
        <w:spacing w:before="0" w:beforeAutospacing="0" w:after="0" w:afterAutospacing="0"/>
        <w:ind w:left="432" w:right="432"/>
        <w:jc w:val="both"/>
        <w:rPr>
          <w:rFonts w:ascii="Calibri" w:hAnsi="Calibri"/>
          <w:color w:val="000000"/>
        </w:rPr>
      </w:pPr>
      <w:r w:rsidRPr="00082975">
        <w:rPr>
          <w:rFonts w:ascii="Calibri" w:hAnsi="Calibri"/>
          <w:color w:val="000000"/>
        </w:rPr>
        <w:t>The protection plan must be developed and receive DCFS supervisory approval prior to DCFS staff leaving the home. The protection plan serves as a written agreement between the Division and the family. As such, a copy of the plan will be provided to the caregiver and to other members participating in the plan prior to the investigator leaving the home. </w:t>
      </w:r>
    </w:p>
    <w:p w14:paraId="7DB427E2" w14:textId="77777777" w:rsidR="00082975" w:rsidRPr="00082975" w:rsidRDefault="00082975" w:rsidP="00082975">
      <w:pPr>
        <w:pStyle w:val="NoSpacing"/>
        <w:ind w:left="432" w:right="432"/>
        <w:rPr>
          <w:color w:val="000000" w:themeColor="text1"/>
          <w:sz w:val="24"/>
          <w:szCs w:val="24"/>
        </w:rPr>
      </w:pPr>
    </w:p>
    <w:p w14:paraId="74B822E1" w14:textId="7D1B890A" w:rsidR="00A05397" w:rsidRDefault="00CD1BCA" w:rsidP="00CB4A1B">
      <w:pPr>
        <w:pStyle w:val="NoSpacing"/>
        <w:rPr>
          <w:sz w:val="24"/>
          <w:szCs w:val="24"/>
        </w:rPr>
      </w:pPr>
      <w:r>
        <w:rPr>
          <w:sz w:val="24"/>
          <w:szCs w:val="24"/>
        </w:rPr>
        <w:t>W</w:t>
      </w:r>
      <w:r w:rsidR="009F17D3" w:rsidRPr="009F17D3">
        <w:rPr>
          <w:sz w:val="24"/>
          <w:szCs w:val="24"/>
        </w:rPr>
        <w:t>ith protection plans</w:t>
      </w:r>
      <w:r>
        <w:rPr>
          <w:sz w:val="24"/>
          <w:szCs w:val="24"/>
        </w:rPr>
        <w:t xml:space="preserve"> nationally</w:t>
      </w:r>
      <w:r w:rsidR="009F17D3">
        <w:rPr>
          <w:sz w:val="24"/>
          <w:szCs w:val="24"/>
        </w:rPr>
        <w:t>, there is generally no petition submitted to the court</w:t>
      </w:r>
      <w:r w:rsidR="006C4CD6">
        <w:rPr>
          <w:sz w:val="24"/>
          <w:szCs w:val="24"/>
        </w:rPr>
        <w:t xml:space="preserve"> and the case is monitored</w:t>
      </w:r>
      <w:r w:rsidR="009F17D3">
        <w:rPr>
          <w:sz w:val="24"/>
          <w:szCs w:val="24"/>
        </w:rPr>
        <w:t xml:space="preserve"> to assure that the caregiver is following the plan.  This structure is utilized</w:t>
      </w:r>
      <w:r w:rsidR="006C4CD6">
        <w:rPr>
          <w:sz w:val="24"/>
          <w:szCs w:val="24"/>
        </w:rPr>
        <w:t xml:space="preserve"> with lower risk cases</w:t>
      </w:r>
      <w:r w:rsidR="009F17D3">
        <w:rPr>
          <w:sz w:val="24"/>
          <w:szCs w:val="24"/>
        </w:rPr>
        <w:t xml:space="preserve"> in most states.  </w:t>
      </w:r>
      <w:r w:rsidR="00A05397">
        <w:rPr>
          <w:sz w:val="24"/>
          <w:szCs w:val="24"/>
        </w:rPr>
        <w:t>Strategies such as the DCFS protection plans have a useful place in child welfare systems.  They allow an individualized approach to families, providing a less adversarial environment than a court hearing</w:t>
      </w:r>
      <w:r w:rsidR="009C3FB2">
        <w:rPr>
          <w:sz w:val="24"/>
          <w:szCs w:val="24"/>
        </w:rPr>
        <w:t>.</w:t>
      </w:r>
      <w:r w:rsidR="00A05397">
        <w:rPr>
          <w:sz w:val="24"/>
          <w:szCs w:val="24"/>
        </w:rPr>
        <w:t xml:space="preserve">  When used appropriately, they can facilitate safe maintenance of children in thei</w:t>
      </w:r>
      <w:r>
        <w:rPr>
          <w:sz w:val="24"/>
          <w:szCs w:val="24"/>
        </w:rPr>
        <w:t xml:space="preserve">r own homes.  To be </w:t>
      </w:r>
      <w:r w:rsidR="009C3FB2">
        <w:rPr>
          <w:sz w:val="24"/>
          <w:szCs w:val="24"/>
        </w:rPr>
        <w:t>successful,</w:t>
      </w:r>
      <w:r>
        <w:rPr>
          <w:sz w:val="24"/>
          <w:szCs w:val="24"/>
        </w:rPr>
        <w:t xml:space="preserve"> however, </w:t>
      </w:r>
      <w:r w:rsidR="00A05397">
        <w:rPr>
          <w:sz w:val="24"/>
          <w:szCs w:val="24"/>
        </w:rPr>
        <w:t>a thorough assessment of families is needed, frequent contact by the caseworker is required, and a process is needed to use alternative strategies, such as court, if families do not follow through.</w:t>
      </w:r>
    </w:p>
    <w:p w14:paraId="5A8AC421" w14:textId="77777777" w:rsidR="00A05397" w:rsidRDefault="00A05397" w:rsidP="00CB4A1B">
      <w:pPr>
        <w:pStyle w:val="NoSpacing"/>
        <w:rPr>
          <w:sz w:val="24"/>
          <w:szCs w:val="24"/>
        </w:rPr>
      </w:pPr>
    </w:p>
    <w:p w14:paraId="0F6427CA" w14:textId="79B7FF61" w:rsidR="0060678A" w:rsidRDefault="009F17D3" w:rsidP="00CB4A1B">
      <w:pPr>
        <w:pStyle w:val="NoSpacing"/>
        <w:rPr>
          <w:sz w:val="24"/>
          <w:szCs w:val="24"/>
        </w:rPr>
      </w:pPr>
      <w:r>
        <w:rPr>
          <w:sz w:val="24"/>
          <w:szCs w:val="24"/>
        </w:rPr>
        <w:t xml:space="preserve">It is likely that this bill was introduced because of doubts on the part of some stakeholders that DCFS could assure child safety without court oversight.  </w:t>
      </w:r>
      <w:r w:rsidR="00C2201B">
        <w:rPr>
          <w:sz w:val="24"/>
          <w:szCs w:val="24"/>
        </w:rPr>
        <w:t xml:space="preserve">Some legal stakeholders criticized a DCFS practice which they called coercive placements, meaning that DCFS would threaten removal unless the caregiver placed the child with another family member, for example, without properly reviewing the alternative caregiver’s suitability or petitioning the court.  </w:t>
      </w:r>
      <w:r>
        <w:rPr>
          <w:sz w:val="24"/>
          <w:szCs w:val="24"/>
        </w:rPr>
        <w:t>Regardless of the merits of the Act</w:t>
      </w:r>
      <w:r w:rsidR="009C3FB2">
        <w:rPr>
          <w:sz w:val="24"/>
          <w:szCs w:val="24"/>
        </w:rPr>
        <w:t>, it</w:t>
      </w:r>
      <w:r>
        <w:rPr>
          <w:sz w:val="24"/>
          <w:szCs w:val="24"/>
        </w:rPr>
        <w:t xml:space="preserve"> will undoubtedly increase the DFCS </w:t>
      </w:r>
      <w:r w:rsidR="006C4CD6">
        <w:rPr>
          <w:sz w:val="24"/>
          <w:szCs w:val="24"/>
        </w:rPr>
        <w:t>workload, including administr</w:t>
      </w:r>
      <w:r w:rsidR="00B30BC8">
        <w:rPr>
          <w:sz w:val="24"/>
          <w:szCs w:val="24"/>
        </w:rPr>
        <w:t xml:space="preserve">ative tasks and time in court. </w:t>
      </w:r>
      <w:r w:rsidR="006C4CD6">
        <w:rPr>
          <w:sz w:val="24"/>
          <w:szCs w:val="24"/>
        </w:rPr>
        <w:t xml:space="preserve">It is also likely to increase the </w:t>
      </w:r>
      <w:r w:rsidR="00B30BC8">
        <w:rPr>
          <w:sz w:val="24"/>
          <w:szCs w:val="24"/>
        </w:rPr>
        <w:t>number of children placed in foster care.</w:t>
      </w:r>
    </w:p>
    <w:p w14:paraId="6E37D8D9" w14:textId="77777777" w:rsidR="00155248" w:rsidRDefault="00155248" w:rsidP="00CB4A1B">
      <w:pPr>
        <w:pStyle w:val="NoSpacing"/>
        <w:rPr>
          <w:sz w:val="24"/>
          <w:szCs w:val="24"/>
        </w:rPr>
      </w:pPr>
    </w:p>
    <w:p w14:paraId="6BEA7B40" w14:textId="77777777" w:rsidR="00155248" w:rsidRDefault="00155248" w:rsidP="00CB4A1B">
      <w:pPr>
        <w:pStyle w:val="NoSpacing"/>
        <w:rPr>
          <w:sz w:val="24"/>
          <w:szCs w:val="24"/>
        </w:rPr>
      </w:pPr>
      <w:r>
        <w:rPr>
          <w:sz w:val="24"/>
          <w:szCs w:val="24"/>
        </w:rPr>
        <w:t xml:space="preserve">This statute also adds responsibility to DCFS related to provision of background information at dependency-neglect review hearings.  Completing this administrative task requires additional staff time.  </w:t>
      </w:r>
    </w:p>
    <w:p w14:paraId="671FDF0F" w14:textId="77777777" w:rsidR="00155248" w:rsidRDefault="00155248" w:rsidP="00CB4A1B">
      <w:pPr>
        <w:pStyle w:val="NoSpacing"/>
        <w:rPr>
          <w:sz w:val="24"/>
          <w:szCs w:val="24"/>
        </w:rPr>
      </w:pPr>
    </w:p>
    <w:p w14:paraId="197ECDB5" w14:textId="6ED6FDF8" w:rsidR="006C4CD6" w:rsidRDefault="00603364" w:rsidP="00CB4A1B">
      <w:pPr>
        <w:pStyle w:val="NoSpacing"/>
        <w:rPr>
          <w:sz w:val="24"/>
          <w:szCs w:val="24"/>
        </w:rPr>
      </w:pPr>
      <w:r w:rsidRPr="00603364">
        <w:rPr>
          <w:sz w:val="24"/>
          <w:szCs w:val="24"/>
        </w:rPr>
        <w:t>Another bil</w:t>
      </w:r>
      <w:r>
        <w:rPr>
          <w:sz w:val="24"/>
          <w:szCs w:val="24"/>
        </w:rPr>
        <w:t>l, Senate Bill 810</w:t>
      </w:r>
      <w:r w:rsidR="003A4E9E">
        <w:rPr>
          <w:sz w:val="24"/>
          <w:szCs w:val="24"/>
        </w:rPr>
        <w:t>,</w:t>
      </w:r>
      <w:r>
        <w:rPr>
          <w:sz w:val="24"/>
          <w:szCs w:val="24"/>
        </w:rPr>
        <w:t xml:space="preserve"> adds educational neglect to the list of qualifying reports of certain type</w:t>
      </w:r>
      <w:r w:rsidR="00B362CB">
        <w:rPr>
          <w:sz w:val="24"/>
          <w:szCs w:val="24"/>
        </w:rPr>
        <w:t>s</w:t>
      </w:r>
      <w:r>
        <w:rPr>
          <w:sz w:val="24"/>
          <w:szCs w:val="24"/>
        </w:rPr>
        <w:t xml:space="preserve"> of maltreatment</w:t>
      </w:r>
      <w:r w:rsidR="00CD1BCA">
        <w:rPr>
          <w:sz w:val="24"/>
          <w:szCs w:val="24"/>
        </w:rPr>
        <w:t xml:space="preserve">, without the conditions cited </w:t>
      </w:r>
      <w:r w:rsidR="0090093A">
        <w:rPr>
          <w:sz w:val="24"/>
          <w:szCs w:val="24"/>
        </w:rPr>
        <w:t>in the prior statute</w:t>
      </w:r>
      <w:r>
        <w:rPr>
          <w:sz w:val="24"/>
          <w:szCs w:val="24"/>
        </w:rPr>
        <w:t>.</w:t>
      </w:r>
      <w:r w:rsidR="0090093A">
        <w:rPr>
          <w:sz w:val="24"/>
          <w:szCs w:val="24"/>
        </w:rPr>
        <w:t xml:space="preserve">  </w:t>
      </w:r>
      <w:r>
        <w:rPr>
          <w:sz w:val="24"/>
          <w:szCs w:val="24"/>
        </w:rPr>
        <w:t xml:space="preserve">  </w:t>
      </w:r>
      <w:r w:rsidR="003A4E9E">
        <w:rPr>
          <w:sz w:val="24"/>
          <w:szCs w:val="24"/>
        </w:rPr>
        <w:t>In this</w:t>
      </w:r>
      <w:r w:rsidR="009C3FB2">
        <w:rPr>
          <w:sz w:val="24"/>
          <w:szCs w:val="24"/>
        </w:rPr>
        <w:t xml:space="preserve"> context educational neglect is the term</w:t>
      </w:r>
      <w:r w:rsidR="003A4E9E">
        <w:rPr>
          <w:sz w:val="24"/>
          <w:szCs w:val="24"/>
        </w:rPr>
        <w:t xml:space="preserve"> usually applied to truancy cases.  </w:t>
      </w:r>
      <w:r>
        <w:rPr>
          <w:sz w:val="24"/>
          <w:szCs w:val="24"/>
        </w:rPr>
        <w:t xml:space="preserve">This </w:t>
      </w:r>
      <w:r w:rsidR="003A4E9E">
        <w:rPr>
          <w:sz w:val="24"/>
          <w:szCs w:val="24"/>
        </w:rPr>
        <w:t>statute</w:t>
      </w:r>
      <w:r>
        <w:rPr>
          <w:sz w:val="24"/>
          <w:szCs w:val="24"/>
        </w:rPr>
        <w:t xml:space="preserve"> </w:t>
      </w:r>
      <w:r w:rsidR="0090093A">
        <w:rPr>
          <w:sz w:val="24"/>
          <w:szCs w:val="24"/>
        </w:rPr>
        <w:t xml:space="preserve">means that the Child Abuse Hotline must accept each call regarding educational neglect.  DCFS will be required to assess the safety of the child upon receipt of the report and assess “each underlying issue or additional child maltreatment concern that may have not been identified in the </w:t>
      </w:r>
      <w:r w:rsidR="00CD1BCA">
        <w:rPr>
          <w:sz w:val="24"/>
          <w:szCs w:val="24"/>
        </w:rPr>
        <w:t>original hotline r</w:t>
      </w:r>
      <w:r w:rsidR="00B30BC8">
        <w:rPr>
          <w:sz w:val="24"/>
          <w:szCs w:val="24"/>
        </w:rPr>
        <w:t>eport, a new specific mandate.</w:t>
      </w:r>
      <w:r w:rsidR="0090093A">
        <w:rPr>
          <w:sz w:val="24"/>
          <w:szCs w:val="24"/>
        </w:rPr>
        <w:t xml:space="preserve"> The statute also requires DCFS</w:t>
      </w:r>
      <w:r w:rsidR="00864D83">
        <w:rPr>
          <w:sz w:val="24"/>
          <w:szCs w:val="24"/>
        </w:rPr>
        <w:t xml:space="preserve"> to</w:t>
      </w:r>
      <w:r>
        <w:rPr>
          <w:sz w:val="24"/>
          <w:szCs w:val="24"/>
        </w:rPr>
        <w:t xml:space="preserve"> “work with” families to remedy the issues that resulted in the report.</w:t>
      </w:r>
      <w:r w:rsidR="009055AA">
        <w:rPr>
          <w:sz w:val="24"/>
          <w:szCs w:val="24"/>
        </w:rPr>
        <w:t xml:space="preserve">  </w:t>
      </w:r>
      <w:r w:rsidR="003A4E9E">
        <w:rPr>
          <w:sz w:val="24"/>
          <w:szCs w:val="24"/>
        </w:rPr>
        <w:t>Some legal partners, including judges</w:t>
      </w:r>
      <w:r w:rsidR="0090093A">
        <w:rPr>
          <w:sz w:val="24"/>
          <w:szCs w:val="24"/>
        </w:rPr>
        <w:t>,</w:t>
      </w:r>
      <w:r w:rsidR="003A4E9E">
        <w:rPr>
          <w:sz w:val="24"/>
          <w:szCs w:val="24"/>
        </w:rPr>
        <w:t xml:space="preserve"> reported that when DCFS accepted educational neglect</w:t>
      </w:r>
      <w:r w:rsidR="0090093A">
        <w:rPr>
          <w:sz w:val="24"/>
          <w:szCs w:val="24"/>
        </w:rPr>
        <w:t xml:space="preserve"> it was often referred to a DR worker who might admonish the caregiver and elicit a promise to insure attendance, which did not consistently result in a resolution of truancy.  These stakeholders also have concern that DCFS ignores more significant underlying family issues, of which truancy is a symptom, such as physical abuse and substance abuse.</w:t>
      </w:r>
    </w:p>
    <w:p w14:paraId="58F36AAD" w14:textId="77777777" w:rsidR="00C2201B" w:rsidRDefault="00C2201B" w:rsidP="00CB4A1B">
      <w:pPr>
        <w:pStyle w:val="NoSpacing"/>
        <w:rPr>
          <w:sz w:val="24"/>
          <w:szCs w:val="24"/>
        </w:rPr>
      </w:pPr>
    </w:p>
    <w:p w14:paraId="0D50561A" w14:textId="10F29207" w:rsidR="00C2201B" w:rsidRDefault="00C2201B" w:rsidP="00CB4A1B">
      <w:pPr>
        <w:pStyle w:val="NoSpacing"/>
        <w:rPr>
          <w:sz w:val="24"/>
          <w:szCs w:val="24"/>
        </w:rPr>
      </w:pPr>
      <w:r>
        <w:rPr>
          <w:sz w:val="24"/>
          <w:szCs w:val="24"/>
        </w:rPr>
        <w:t>Like the intent of the other statutes referenced, the provisi</w:t>
      </w:r>
      <w:r w:rsidR="00155248">
        <w:rPr>
          <w:sz w:val="24"/>
          <w:szCs w:val="24"/>
        </w:rPr>
        <w:t>ons of Senate Bill 180 reflect</w:t>
      </w:r>
      <w:r>
        <w:rPr>
          <w:sz w:val="24"/>
          <w:szCs w:val="24"/>
        </w:rPr>
        <w:t xml:space="preserve"> legitimate concerns about child well-being and in some cases child safety.  However it will increase the DCFS workload without any com</w:t>
      </w:r>
      <w:r w:rsidR="00B30BC8">
        <w:rPr>
          <w:sz w:val="24"/>
          <w:szCs w:val="24"/>
        </w:rPr>
        <w:t>mensurate increase in staff res</w:t>
      </w:r>
      <w:r>
        <w:rPr>
          <w:sz w:val="24"/>
          <w:szCs w:val="24"/>
        </w:rPr>
        <w:t>ources.</w:t>
      </w:r>
    </w:p>
    <w:p w14:paraId="40482296" w14:textId="77777777" w:rsidR="00875720" w:rsidRDefault="00875720" w:rsidP="00CB4A1B">
      <w:pPr>
        <w:pStyle w:val="NoSpacing"/>
        <w:rPr>
          <w:sz w:val="24"/>
          <w:szCs w:val="24"/>
        </w:rPr>
      </w:pPr>
    </w:p>
    <w:p w14:paraId="1A415840" w14:textId="1F51EF63" w:rsidR="00EF5DDC" w:rsidRPr="00875720" w:rsidRDefault="00875720" w:rsidP="00CB4A1B">
      <w:pPr>
        <w:pStyle w:val="NoSpacing"/>
        <w:rPr>
          <w:sz w:val="24"/>
          <w:szCs w:val="24"/>
        </w:rPr>
      </w:pPr>
      <w:r w:rsidRPr="00875720">
        <w:rPr>
          <w:sz w:val="24"/>
          <w:szCs w:val="24"/>
        </w:rPr>
        <w:t>Several other statutes</w:t>
      </w:r>
      <w:r>
        <w:rPr>
          <w:sz w:val="24"/>
          <w:szCs w:val="24"/>
        </w:rPr>
        <w:t xml:space="preserve"> </w:t>
      </w:r>
      <w:r w:rsidRPr="00875720">
        <w:rPr>
          <w:sz w:val="24"/>
          <w:szCs w:val="24"/>
        </w:rPr>
        <w:t>that add administrative requirements to DCFS were also passed.</w:t>
      </w:r>
    </w:p>
    <w:p w14:paraId="15610B30" w14:textId="77777777" w:rsidR="00864D83" w:rsidRDefault="00864D83" w:rsidP="00CB4A1B">
      <w:pPr>
        <w:pStyle w:val="NoSpacing"/>
        <w:rPr>
          <w:sz w:val="24"/>
          <w:szCs w:val="24"/>
        </w:rPr>
      </w:pPr>
    </w:p>
    <w:p w14:paraId="64DAD5D9" w14:textId="24F89B1C" w:rsidR="00CB4A1B" w:rsidRPr="00864D83" w:rsidRDefault="009C3FB2" w:rsidP="00864D83">
      <w:pPr>
        <w:pStyle w:val="NoSpacing"/>
      </w:pPr>
      <w:r>
        <w:rPr>
          <w:b/>
          <w:sz w:val="28"/>
          <w:szCs w:val="28"/>
        </w:rPr>
        <w:t>XII</w:t>
      </w:r>
      <w:r w:rsidR="00864D83">
        <w:rPr>
          <w:b/>
          <w:sz w:val="28"/>
          <w:szCs w:val="28"/>
        </w:rPr>
        <w:t xml:space="preserve">. </w:t>
      </w:r>
      <w:r w:rsidR="00417A2F" w:rsidRPr="00864D83">
        <w:rPr>
          <w:b/>
          <w:sz w:val="28"/>
          <w:szCs w:val="28"/>
        </w:rPr>
        <w:t>DCFS Relationship with State and Community Partners</w:t>
      </w:r>
    </w:p>
    <w:p w14:paraId="237CABFD" w14:textId="77777777" w:rsidR="00864D83" w:rsidRDefault="00864D83" w:rsidP="00864D83">
      <w:pPr>
        <w:pStyle w:val="NoSpacing"/>
        <w:ind w:left="1080"/>
      </w:pPr>
    </w:p>
    <w:p w14:paraId="038F6E8A" w14:textId="0C4A61E0" w:rsidR="0071237F" w:rsidRPr="00A96627" w:rsidRDefault="00877EB4">
      <w:pPr>
        <w:rPr>
          <w:sz w:val="24"/>
          <w:szCs w:val="24"/>
        </w:rPr>
      </w:pPr>
      <w:r w:rsidRPr="00A96627">
        <w:rPr>
          <w:sz w:val="24"/>
          <w:szCs w:val="24"/>
        </w:rPr>
        <w:t>In collecting information on which to base the findings of the report, a large variety of stak</w:t>
      </w:r>
      <w:r w:rsidR="00ED7ECC" w:rsidRPr="00A96627">
        <w:rPr>
          <w:sz w:val="24"/>
          <w:szCs w:val="24"/>
        </w:rPr>
        <w:t>e</w:t>
      </w:r>
      <w:r w:rsidRPr="00A96627">
        <w:rPr>
          <w:sz w:val="24"/>
          <w:szCs w:val="24"/>
        </w:rPr>
        <w:t>holders both internal and external to DCFS were interviewed in person and by phone.  Some interviews were group interviews and others were</w:t>
      </w:r>
      <w:r w:rsidR="00ED7ECC" w:rsidRPr="00A96627">
        <w:rPr>
          <w:sz w:val="24"/>
          <w:szCs w:val="24"/>
        </w:rPr>
        <w:t xml:space="preserve"> individual conversations.  Respondents represented legal partners, legislators, foster and adoptive parents</w:t>
      </w:r>
      <w:r w:rsidR="005D5108" w:rsidRPr="00A96627">
        <w:rPr>
          <w:sz w:val="24"/>
          <w:szCs w:val="24"/>
        </w:rPr>
        <w:t>, service</w:t>
      </w:r>
      <w:r w:rsidR="00422971" w:rsidRPr="00A96627">
        <w:rPr>
          <w:sz w:val="24"/>
          <w:szCs w:val="24"/>
        </w:rPr>
        <w:t xml:space="preserve"> providers, advocates and others.  There were also </w:t>
      </w:r>
      <w:r w:rsidR="00515361" w:rsidRPr="00A96627">
        <w:rPr>
          <w:sz w:val="24"/>
          <w:szCs w:val="24"/>
        </w:rPr>
        <w:t xml:space="preserve">individual </w:t>
      </w:r>
      <w:r w:rsidR="00422971" w:rsidRPr="00A96627">
        <w:rPr>
          <w:sz w:val="24"/>
          <w:szCs w:val="24"/>
        </w:rPr>
        <w:t xml:space="preserve">group meetings with DCFS area directors, front-line staff and supervisors and central office staff.  </w:t>
      </w:r>
      <w:r w:rsidR="0071237F" w:rsidRPr="00A96627">
        <w:rPr>
          <w:sz w:val="24"/>
          <w:szCs w:val="24"/>
        </w:rPr>
        <w:t>As might be expected, stakeholder perceptions of DCFS varied.  However many respondents, including som</w:t>
      </w:r>
      <w:r w:rsidR="00B30BC8" w:rsidRPr="00A96627">
        <w:rPr>
          <w:sz w:val="24"/>
          <w:szCs w:val="24"/>
        </w:rPr>
        <w:t>e critics, recognized DCFS</w:t>
      </w:r>
      <w:r w:rsidR="0071237F" w:rsidRPr="00A96627">
        <w:rPr>
          <w:sz w:val="24"/>
          <w:szCs w:val="24"/>
        </w:rPr>
        <w:t xml:space="preserve"> workload challenges.  </w:t>
      </w:r>
      <w:r w:rsidR="00B30BC8" w:rsidRPr="00A96627">
        <w:rPr>
          <w:sz w:val="24"/>
          <w:szCs w:val="24"/>
        </w:rPr>
        <w:t xml:space="preserve">Several judges complimented their local DCFS staff and stated that they were doing their best within a very challenging environment. </w:t>
      </w:r>
      <w:r w:rsidR="0071237F" w:rsidRPr="00A96627">
        <w:rPr>
          <w:sz w:val="24"/>
          <w:szCs w:val="24"/>
        </w:rPr>
        <w:t xml:space="preserve">From most, DCFS got high marks for its data analysis work.  </w:t>
      </w:r>
      <w:r w:rsidRPr="00A96627">
        <w:rPr>
          <w:sz w:val="24"/>
          <w:szCs w:val="24"/>
        </w:rPr>
        <w:t xml:space="preserve">Many stakeholders also recognized that the </w:t>
      </w:r>
      <w:r w:rsidR="0071237F" w:rsidRPr="00A96627">
        <w:rPr>
          <w:sz w:val="24"/>
          <w:szCs w:val="24"/>
        </w:rPr>
        <w:t xml:space="preserve">Division has a sophisticated capacity to develop, collect and present management </w:t>
      </w:r>
      <w:r w:rsidRPr="00A96627">
        <w:rPr>
          <w:sz w:val="24"/>
          <w:szCs w:val="24"/>
        </w:rPr>
        <w:t xml:space="preserve">and outcome </w:t>
      </w:r>
      <w:r w:rsidR="0071237F" w:rsidRPr="00A96627">
        <w:rPr>
          <w:sz w:val="24"/>
          <w:szCs w:val="24"/>
        </w:rPr>
        <w:t xml:space="preserve">data and does so in its </w:t>
      </w:r>
      <w:r w:rsidRPr="00A96627">
        <w:rPr>
          <w:sz w:val="24"/>
          <w:szCs w:val="24"/>
        </w:rPr>
        <w:t xml:space="preserve">written </w:t>
      </w:r>
      <w:r w:rsidR="0071237F" w:rsidRPr="00A96627">
        <w:rPr>
          <w:sz w:val="24"/>
          <w:szCs w:val="24"/>
        </w:rPr>
        <w:t xml:space="preserve">publications, on its web site and in stakeholder interactions.  There is considerable transparency from DCFS about both its good and </w:t>
      </w:r>
      <w:r w:rsidR="00515361" w:rsidRPr="00A96627">
        <w:rPr>
          <w:sz w:val="24"/>
          <w:szCs w:val="24"/>
        </w:rPr>
        <w:t xml:space="preserve">its </w:t>
      </w:r>
      <w:r w:rsidR="0071237F" w:rsidRPr="00A96627">
        <w:rPr>
          <w:sz w:val="24"/>
          <w:szCs w:val="24"/>
        </w:rPr>
        <w:t>unflattering performance against selected measures.</w:t>
      </w:r>
    </w:p>
    <w:p w14:paraId="0036C0DA" w14:textId="2D13FF0C" w:rsidR="00422971" w:rsidRPr="00A96627" w:rsidRDefault="00422971">
      <w:pPr>
        <w:rPr>
          <w:sz w:val="24"/>
          <w:szCs w:val="24"/>
        </w:rPr>
      </w:pPr>
      <w:r w:rsidRPr="00A96627">
        <w:rPr>
          <w:sz w:val="24"/>
          <w:szCs w:val="24"/>
        </w:rPr>
        <w:t>A number of contract service providers expressed appreciation for the Division’s understanding of their complex fiscal issues.  Working relationships between contract providers and DCFS seemed generally positive.</w:t>
      </w:r>
    </w:p>
    <w:p w14:paraId="732C2D06" w14:textId="1DA3C6C6" w:rsidR="00422971" w:rsidRPr="00A96627" w:rsidRDefault="00422971">
      <w:pPr>
        <w:rPr>
          <w:sz w:val="24"/>
          <w:szCs w:val="24"/>
        </w:rPr>
      </w:pPr>
      <w:r w:rsidRPr="00A96627">
        <w:rPr>
          <w:sz w:val="24"/>
          <w:szCs w:val="24"/>
        </w:rPr>
        <w:t>It is possible that the Division’s facility</w:t>
      </w:r>
      <w:r w:rsidR="009C3FB2">
        <w:rPr>
          <w:sz w:val="24"/>
          <w:szCs w:val="24"/>
        </w:rPr>
        <w:t xml:space="preserve"> with </w:t>
      </w:r>
      <w:r w:rsidRPr="00A96627">
        <w:rPr>
          <w:sz w:val="24"/>
          <w:szCs w:val="24"/>
        </w:rPr>
        <w:t>data and numbers inadvertently gives the impression of detachment from</w:t>
      </w:r>
      <w:r w:rsidR="00515361" w:rsidRPr="00A96627">
        <w:rPr>
          <w:sz w:val="24"/>
          <w:szCs w:val="24"/>
        </w:rPr>
        <w:t xml:space="preserve"> some of the</w:t>
      </w:r>
      <w:r w:rsidRPr="00A96627">
        <w:rPr>
          <w:sz w:val="24"/>
          <w:szCs w:val="24"/>
        </w:rPr>
        <w:t xml:space="preserve"> human issues of child welfare.</w:t>
      </w:r>
      <w:r w:rsidR="00CD4BA2" w:rsidRPr="00A96627">
        <w:rPr>
          <w:sz w:val="24"/>
          <w:szCs w:val="24"/>
        </w:rPr>
        <w:t xml:space="preserve">  Some stakeholders feel distanced from the Division in regard to collaborative pl</w:t>
      </w:r>
      <w:r w:rsidR="00515361" w:rsidRPr="00A96627">
        <w:rPr>
          <w:sz w:val="24"/>
          <w:szCs w:val="24"/>
        </w:rPr>
        <w:t>anning.  While the Division has</w:t>
      </w:r>
      <w:r w:rsidR="00CD4BA2" w:rsidRPr="00A96627">
        <w:rPr>
          <w:sz w:val="24"/>
          <w:szCs w:val="24"/>
        </w:rPr>
        <w:t xml:space="preserve"> attempted to reach out to stakeholders through initiatives such as the new </w:t>
      </w:r>
      <w:r w:rsidR="00864D83" w:rsidRPr="00A96627">
        <w:rPr>
          <w:sz w:val="24"/>
          <w:szCs w:val="24"/>
        </w:rPr>
        <w:t xml:space="preserve">DCFS </w:t>
      </w:r>
      <w:r w:rsidR="00CD4BA2" w:rsidRPr="00A96627">
        <w:rPr>
          <w:sz w:val="24"/>
          <w:szCs w:val="24"/>
        </w:rPr>
        <w:t>Advocacy Council</w:t>
      </w:r>
      <w:r w:rsidR="00864D83" w:rsidRPr="00A96627">
        <w:rPr>
          <w:sz w:val="24"/>
          <w:szCs w:val="24"/>
        </w:rPr>
        <w:t xml:space="preserve">, </w:t>
      </w:r>
      <w:r w:rsidR="00CD4BA2" w:rsidRPr="00A96627">
        <w:rPr>
          <w:sz w:val="24"/>
          <w:szCs w:val="24"/>
        </w:rPr>
        <w:t>stakeholders express a desire for collaboration that goes beyond being briefed on new child wel</w:t>
      </w:r>
      <w:r w:rsidR="0003026E" w:rsidRPr="00A96627">
        <w:rPr>
          <w:sz w:val="24"/>
          <w:szCs w:val="24"/>
        </w:rPr>
        <w:t xml:space="preserve">fare initiatives.  Stakeholders clearly prefer to help shape planning </w:t>
      </w:r>
      <w:r w:rsidR="00515361" w:rsidRPr="00A96627">
        <w:rPr>
          <w:sz w:val="24"/>
          <w:szCs w:val="24"/>
        </w:rPr>
        <w:t xml:space="preserve">and policy </w:t>
      </w:r>
      <w:r w:rsidR="0003026E" w:rsidRPr="00A96627">
        <w:rPr>
          <w:sz w:val="24"/>
          <w:szCs w:val="24"/>
        </w:rPr>
        <w:t xml:space="preserve">rather than </w:t>
      </w:r>
      <w:r w:rsidR="00515361" w:rsidRPr="00A96627">
        <w:rPr>
          <w:sz w:val="24"/>
          <w:szCs w:val="24"/>
        </w:rPr>
        <w:t xml:space="preserve">merely </w:t>
      </w:r>
      <w:r w:rsidR="0003026E" w:rsidRPr="00A96627">
        <w:rPr>
          <w:sz w:val="24"/>
          <w:szCs w:val="24"/>
        </w:rPr>
        <w:t xml:space="preserve">commenting on it.  In defense of child welfare systems in this regard, there is a tendency for them </w:t>
      </w:r>
      <w:r w:rsidR="00515361" w:rsidRPr="00A96627">
        <w:rPr>
          <w:sz w:val="24"/>
          <w:szCs w:val="24"/>
        </w:rPr>
        <w:t>to want to demonstrate their</w:t>
      </w:r>
      <w:r w:rsidR="0003026E" w:rsidRPr="00A96627">
        <w:rPr>
          <w:sz w:val="24"/>
          <w:szCs w:val="24"/>
        </w:rPr>
        <w:t xml:space="preserve"> own competence</w:t>
      </w:r>
      <w:r w:rsidR="00515361" w:rsidRPr="00A96627">
        <w:rPr>
          <w:sz w:val="24"/>
          <w:szCs w:val="24"/>
        </w:rPr>
        <w:t xml:space="preserve"> first, which can make the planning process seem exclusive.  </w:t>
      </w:r>
    </w:p>
    <w:p w14:paraId="745AD4B5" w14:textId="2E6C227A" w:rsidR="00515361" w:rsidRPr="00A96627" w:rsidRDefault="00515361">
      <w:pPr>
        <w:rPr>
          <w:sz w:val="24"/>
          <w:szCs w:val="24"/>
        </w:rPr>
      </w:pPr>
      <w:r w:rsidRPr="00A96627">
        <w:rPr>
          <w:sz w:val="24"/>
          <w:szCs w:val="24"/>
        </w:rPr>
        <w:t xml:space="preserve">A number of local DCFS staff and supervisors as well as </w:t>
      </w:r>
      <w:r w:rsidR="00B362CB">
        <w:rPr>
          <w:sz w:val="24"/>
          <w:szCs w:val="24"/>
        </w:rPr>
        <w:t>some</w:t>
      </w:r>
      <w:r w:rsidRPr="00A96627">
        <w:rPr>
          <w:sz w:val="24"/>
          <w:szCs w:val="24"/>
        </w:rPr>
        <w:t xml:space="preserve"> stakeholders noted the same high degree of central office oversight of local practice</w:t>
      </w:r>
      <w:r w:rsidR="003E6D95" w:rsidRPr="00A96627">
        <w:rPr>
          <w:sz w:val="24"/>
          <w:szCs w:val="24"/>
        </w:rPr>
        <w:t xml:space="preserve"> </w:t>
      </w:r>
      <w:r w:rsidR="009C3FB2">
        <w:rPr>
          <w:sz w:val="24"/>
          <w:szCs w:val="24"/>
        </w:rPr>
        <w:t>that</w:t>
      </w:r>
      <w:r w:rsidRPr="00A96627">
        <w:rPr>
          <w:sz w:val="24"/>
          <w:szCs w:val="24"/>
        </w:rPr>
        <w:t xml:space="preserve"> was referenced earlier in this report.</w:t>
      </w:r>
    </w:p>
    <w:p w14:paraId="5B9F1A84" w14:textId="04092AC2" w:rsidR="00515361" w:rsidRPr="00A96627" w:rsidRDefault="003077A7">
      <w:pPr>
        <w:rPr>
          <w:sz w:val="24"/>
          <w:szCs w:val="24"/>
        </w:rPr>
      </w:pPr>
      <w:r w:rsidRPr="00A96627">
        <w:rPr>
          <w:sz w:val="24"/>
          <w:szCs w:val="24"/>
        </w:rPr>
        <w:t>Some post-adoptive families mentioned being contacted by DCFS staff recently, asking about their child or children’s status and advising them to contact the Division if additional supports are needed.  The representativeness of this exp</w:t>
      </w:r>
      <w:r w:rsidR="00B30BC8" w:rsidRPr="00A96627">
        <w:rPr>
          <w:sz w:val="24"/>
          <w:szCs w:val="24"/>
        </w:rPr>
        <w:t xml:space="preserve">erience is unknown at this time, however DCFS has recently communicated with local staff about the need for responsiveness to post-adoptive </w:t>
      </w:r>
      <w:r w:rsidR="00CD1BCA" w:rsidRPr="00A96627">
        <w:rPr>
          <w:sz w:val="24"/>
          <w:szCs w:val="24"/>
        </w:rPr>
        <w:t>n</w:t>
      </w:r>
      <w:r w:rsidR="00B30BC8" w:rsidRPr="00A96627">
        <w:rPr>
          <w:sz w:val="24"/>
          <w:szCs w:val="24"/>
        </w:rPr>
        <w:t>eeds.</w:t>
      </w:r>
    </w:p>
    <w:p w14:paraId="0C996C57" w14:textId="6793E857" w:rsidR="008B499C" w:rsidRPr="00A96627" w:rsidRDefault="00682CD2">
      <w:pPr>
        <w:rPr>
          <w:sz w:val="24"/>
          <w:szCs w:val="24"/>
        </w:rPr>
      </w:pPr>
      <w:r w:rsidRPr="00A96627">
        <w:rPr>
          <w:sz w:val="24"/>
          <w:szCs w:val="24"/>
        </w:rPr>
        <w:t xml:space="preserve">Among stakeholders, DCFS has </w:t>
      </w:r>
      <w:r w:rsidR="00FC68A6" w:rsidRPr="00A96627">
        <w:rPr>
          <w:sz w:val="24"/>
          <w:szCs w:val="24"/>
        </w:rPr>
        <w:t xml:space="preserve">no </w:t>
      </w:r>
      <w:r w:rsidRPr="00A96627">
        <w:rPr>
          <w:sz w:val="24"/>
          <w:szCs w:val="24"/>
        </w:rPr>
        <w:t>greater challenge than</w:t>
      </w:r>
      <w:r w:rsidR="00FC68A6" w:rsidRPr="00A96627">
        <w:rPr>
          <w:sz w:val="24"/>
          <w:szCs w:val="24"/>
        </w:rPr>
        <w:t xml:space="preserve"> the conflictual relationship between DCFS and the Administrative Office of Courts</w:t>
      </w:r>
      <w:r w:rsidR="00400C40" w:rsidRPr="00A96627">
        <w:rPr>
          <w:sz w:val="24"/>
          <w:szCs w:val="24"/>
        </w:rPr>
        <w:t xml:space="preserve"> (AOC)</w:t>
      </w:r>
      <w:r w:rsidR="00FC68A6" w:rsidRPr="00A96627">
        <w:rPr>
          <w:sz w:val="24"/>
          <w:szCs w:val="24"/>
        </w:rPr>
        <w:t xml:space="preserve">.   A number of influential stakeholders and stakeholder groups stated that the differences between the two organizations are significant enough that this </w:t>
      </w:r>
      <w:r w:rsidR="00400C40" w:rsidRPr="00A96627">
        <w:rPr>
          <w:sz w:val="24"/>
          <w:szCs w:val="24"/>
        </w:rPr>
        <w:t>review</w:t>
      </w:r>
      <w:r w:rsidR="00FC68A6" w:rsidRPr="00A96627">
        <w:rPr>
          <w:sz w:val="24"/>
          <w:szCs w:val="24"/>
        </w:rPr>
        <w:t xml:space="preserve"> has to recognize them.  Both DCFS and AOC leadership acknowledge the tension, although they continue to communicate and work together on issues of joint concern.</w:t>
      </w:r>
    </w:p>
    <w:p w14:paraId="6EE36E37" w14:textId="12046086" w:rsidR="00FC68A6" w:rsidRPr="00A96627" w:rsidRDefault="00FC68A6">
      <w:pPr>
        <w:rPr>
          <w:sz w:val="24"/>
          <w:szCs w:val="24"/>
        </w:rPr>
      </w:pPr>
      <w:r w:rsidRPr="00A96627">
        <w:rPr>
          <w:sz w:val="24"/>
          <w:szCs w:val="24"/>
        </w:rPr>
        <w:t xml:space="preserve">AOC leadership expresses doubts about some DCFS data, such as related to child fatalities and believes that DCFS is inconsistent in following up on commitments.  AOC managers are also highly frustrated by what can be described as an inability </w:t>
      </w:r>
      <w:r w:rsidR="00400C40" w:rsidRPr="00A96627">
        <w:rPr>
          <w:sz w:val="24"/>
          <w:szCs w:val="24"/>
        </w:rPr>
        <w:t xml:space="preserve">by DCFS </w:t>
      </w:r>
      <w:r w:rsidRPr="00A96627">
        <w:rPr>
          <w:sz w:val="24"/>
          <w:szCs w:val="24"/>
        </w:rPr>
        <w:t xml:space="preserve">to demonstrate a high level of performance, which </w:t>
      </w:r>
      <w:r w:rsidR="009C3FB2">
        <w:rPr>
          <w:sz w:val="24"/>
          <w:szCs w:val="24"/>
        </w:rPr>
        <w:t xml:space="preserve">they believe </w:t>
      </w:r>
      <w:r w:rsidRPr="00A96627">
        <w:rPr>
          <w:sz w:val="24"/>
          <w:szCs w:val="24"/>
        </w:rPr>
        <w:t xml:space="preserve">can place children at risk of harm and/or lack of permanency and well-being.  It is out of this dissatisfaction that AOC </w:t>
      </w:r>
      <w:r w:rsidR="009C3FB2">
        <w:rPr>
          <w:sz w:val="24"/>
          <w:szCs w:val="24"/>
        </w:rPr>
        <w:t>supported</w:t>
      </w:r>
      <w:r w:rsidRPr="00A96627">
        <w:rPr>
          <w:sz w:val="24"/>
          <w:szCs w:val="24"/>
        </w:rPr>
        <w:t xml:space="preserve"> legislation </w:t>
      </w:r>
      <w:r w:rsidR="00400C40" w:rsidRPr="00A96627">
        <w:rPr>
          <w:sz w:val="24"/>
          <w:szCs w:val="24"/>
        </w:rPr>
        <w:t xml:space="preserve">mandating DCFS actions, </w:t>
      </w:r>
      <w:r w:rsidRPr="00A96627">
        <w:rPr>
          <w:sz w:val="24"/>
          <w:szCs w:val="24"/>
        </w:rPr>
        <w:t>such as some of those statutes mentioned previously in this report.</w:t>
      </w:r>
      <w:r w:rsidR="00400C40" w:rsidRPr="00A96627">
        <w:rPr>
          <w:sz w:val="24"/>
          <w:szCs w:val="24"/>
        </w:rPr>
        <w:t xml:space="preserve"> </w:t>
      </w:r>
      <w:r w:rsidRPr="00A96627">
        <w:rPr>
          <w:sz w:val="24"/>
          <w:szCs w:val="24"/>
        </w:rPr>
        <w:t>DCFS expresses similar</w:t>
      </w:r>
      <w:r w:rsidR="00400C40" w:rsidRPr="00A96627">
        <w:rPr>
          <w:sz w:val="24"/>
          <w:szCs w:val="24"/>
        </w:rPr>
        <w:t xml:space="preserve"> frustrations over its own inability to meet some of its expectations, but attributes the shortcomings to lack of staff, turnover and insufficient service resources.  AOC staff acknowledge those limits, but feel that they shouldn’t impede good outcomes for children.  </w:t>
      </w:r>
    </w:p>
    <w:p w14:paraId="0C1B8A6A" w14:textId="4CF7AAED" w:rsidR="00400C40" w:rsidRPr="00A96627" w:rsidRDefault="00400C40">
      <w:pPr>
        <w:rPr>
          <w:sz w:val="24"/>
          <w:szCs w:val="24"/>
        </w:rPr>
      </w:pPr>
      <w:r w:rsidRPr="00A96627">
        <w:rPr>
          <w:sz w:val="24"/>
          <w:szCs w:val="24"/>
        </w:rPr>
        <w:t xml:space="preserve">The tension between child welfare agencies and the juvenile and family courts system is not uncommon nationally.  Courts are accustomed to having their orders and agency policy met fully, an expectation </w:t>
      </w:r>
      <w:r w:rsidR="009C3FB2">
        <w:rPr>
          <w:sz w:val="24"/>
          <w:szCs w:val="24"/>
        </w:rPr>
        <w:t>over</w:t>
      </w:r>
      <w:r w:rsidRPr="00A96627">
        <w:rPr>
          <w:sz w:val="24"/>
          <w:szCs w:val="24"/>
        </w:rPr>
        <w:t xml:space="preserve">stressed child welfare systems cannot always meet.  Attorneys for children feel an uncompromising </w:t>
      </w:r>
      <w:r w:rsidR="00456E37" w:rsidRPr="00A96627">
        <w:rPr>
          <w:sz w:val="24"/>
          <w:szCs w:val="24"/>
        </w:rPr>
        <w:t>obligation to ensure that their clients’ needs are met, which means that a perceived lack of responsiveness by the child welfare system is considered unacceptable.  Court Appointed Child Advocates (CASA) feel a similar obligation.</w:t>
      </w:r>
      <w:r w:rsidR="00E30E15" w:rsidRPr="00A96627">
        <w:rPr>
          <w:sz w:val="24"/>
          <w:szCs w:val="24"/>
        </w:rPr>
        <w:t xml:space="preserve">  Parent attorneys expect that safeguards for parents’ rights should be respected by DCFS and where they may not be, are obligated to advocate for their clients.</w:t>
      </w:r>
    </w:p>
    <w:p w14:paraId="096E6AD7" w14:textId="46EE9B92" w:rsidR="00456E37" w:rsidRPr="00A96627" w:rsidRDefault="00456E37">
      <w:pPr>
        <w:rPr>
          <w:sz w:val="24"/>
          <w:szCs w:val="24"/>
        </w:rPr>
      </w:pPr>
      <w:r w:rsidRPr="00A96627">
        <w:rPr>
          <w:sz w:val="24"/>
          <w:szCs w:val="24"/>
        </w:rPr>
        <w:t>On the child welfare side, state agencies always have limits and when resources are constrained in the way that Arkansas is experiencing, the child welfare agency</w:t>
      </w:r>
      <w:r w:rsidR="002A406E" w:rsidRPr="00A96627">
        <w:rPr>
          <w:sz w:val="24"/>
          <w:szCs w:val="24"/>
        </w:rPr>
        <w:t xml:space="preserve"> cannot </w:t>
      </w:r>
      <w:r w:rsidR="00E30E15" w:rsidRPr="00A96627">
        <w:rPr>
          <w:sz w:val="24"/>
          <w:szCs w:val="24"/>
        </w:rPr>
        <w:t xml:space="preserve">consistently </w:t>
      </w:r>
      <w:r w:rsidR="002A406E" w:rsidRPr="00A96627">
        <w:rPr>
          <w:sz w:val="24"/>
          <w:szCs w:val="24"/>
        </w:rPr>
        <w:t xml:space="preserve">overcome the </w:t>
      </w:r>
      <w:r w:rsidR="00E30E15" w:rsidRPr="00A96627">
        <w:rPr>
          <w:sz w:val="24"/>
          <w:szCs w:val="24"/>
        </w:rPr>
        <w:t xml:space="preserve">fiscal </w:t>
      </w:r>
      <w:r w:rsidR="002A406E" w:rsidRPr="00A96627">
        <w:rPr>
          <w:sz w:val="24"/>
          <w:szCs w:val="24"/>
        </w:rPr>
        <w:t xml:space="preserve">constraints they face.  An additional challenge that DCFS experiences is that in a structure </w:t>
      </w:r>
      <w:r w:rsidR="00B362CB">
        <w:rPr>
          <w:sz w:val="24"/>
          <w:szCs w:val="24"/>
        </w:rPr>
        <w:t>which occurs in</w:t>
      </w:r>
      <w:r w:rsidR="002A406E" w:rsidRPr="00A96627">
        <w:rPr>
          <w:sz w:val="24"/>
          <w:szCs w:val="24"/>
        </w:rPr>
        <w:t xml:space="preserve"> few if any other states</w:t>
      </w:r>
      <w:r w:rsidR="00E30E15" w:rsidRPr="00A96627">
        <w:rPr>
          <w:sz w:val="24"/>
          <w:szCs w:val="24"/>
        </w:rPr>
        <w:t xml:space="preserve">, </w:t>
      </w:r>
      <w:r w:rsidR="002A406E" w:rsidRPr="00A96627">
        <w:rPr>
          <w:sz w:val="24"/>
          <w:szCs w:val="24"/>
        </w:rPr>
        <w:t xml:space="preserve">all of the traditional court critics of the </w:t>
      </w:r>
      <w:r w:rsidR="003340BE" w:rsidRPr="00A96627">
        <w:rPr>
          <w:sz w:val="24"/>
          <w:szCs w:val="24"/>
        </w:rPr>
        <w:t xml:space="preserve">child welfare </w:t>
      </w:r>
      <w:r w:rsidR="002A406E" w:rsidRPr="00A96627">
        <w:rPr>
          <w:sz w:val="24"/>
          <w:szCs w:val="24"/>
        </w:rPr>
        <w:t xml:space="preserve">agency -  parent attorneys, children’s attorneys </w:t>
      </w:r>
      <w:r w:rsidR="003340BE" w:rsidRPr="00A96627">
        <w:rPr>
          <w:sz w:val="24"/>
          <w:szCs w:val="24"/>
        </w:rPr>
        <w:t xml:space="preserve">and CASAs – are part of the </w:t>
      </w:r>
      <w:r w:rsidR="00E30E15" w:rsidRPr="00A96627">
        <w:rPr>
          <w:sz w:val="24"/>
          <w:szCs w:val="24"/>
        </w:rPr>
        <w:t xml:space="preserve">same administrative structure, the AOC, </w:t>
      </w:r>
      <w:r w:rsidR="003340BE" w:rsidRPr="00A96627">
        <w:rPr>
          <w:sz w:val="24"/>
          <w:szCs w:val="24"/>
        </w:rPr>
        <w:t xml:space="preserve">instead of being </w:t>
      </w:r>
      <w:r w:rsidR="00E30E15" w:rsidRPr="00A96627">
        <w:rPr>
          <w:sz w:val="24"/>
          <w:szCs w:val="24"/>
        </w:rPr>
        <w:t xml:space="preserve">organizationally </w:t>
      </w:r>
      <w:r w:rsidR="003340BE" w:rsidRPr="00A96627">
        <w:rPr>
          <w:sz w:val="24"/>
          <w:szCs w:val="24"/>
        </w:rPr>
        <w:t xml:space="preserve">independent.  Practically speaking, criticism of DCFS which might come from each of these entities is now consolidated into one organizational </w:t>
      </w:r>
      <w:r w:rsidR="00E30E15" w:rsidRPr="00A96627">
        <w:rPr>
          <w:sz w:val="24"/>
          <w:szCs w:val="24"/>
        </w:rPr>
        <w:t>voice</w:t>
      </w:r>
      <w:r w:rsidR="003340BE" w:rsidRPr="00A96627">
        <w:rPr>
          <w:sz w:val="24"/>
          <w:szCs w:val="24"/>
        </w:rPr>
        <w:t>, which magnifies the negative feedback.  One result of this dynamic is that DCFS becomes more defensive, fostering greater mistrust.</w:t>
      </w:r>
    </w:p>
    <w:p w14:paraId="73E7D25D" w14:textId="77777777" w:rsidR="004B2D41" w:rsidRDefault="00E30E15">
      <w:pPr>
        <w:rPr>
          <w:sz w:val="24"/>
          <w:szCs w:val="24"/>
        </w:rPr>
      </w:pPr>
      <w:r w:rsidRPr="00A96627">
        <w:rPr>
          <w:sz w:val="24"/>
          <w:szCs w:val="24"/>
        </w:rPr>
        <w:t xml:space="preserve">Against this backdrop, however, both agencies are committed to similar goals with a common interest, improving outcomes for children.  The two organizations must </w:t>
      </w:r>
      <w:r w:rsidR="004E65F8" w:rsidRPr="00A96627">
        <w:rPr>
          <w:sz w:val="24"/>
          <w:szCs w:val="24"/>
        </w:rPr>
        <w:t>re-establish constructive working r</w:t>
      </w:r>
      <w:r w:rsidR="007B6B12" w:rsidRPr="00A96627">
        <w:rPr>
          <w:sz w:val="24"/>
          <w:szCs w:val="24"/>
        </w:rPr>
        <w:t>elat</w:t>
      </w:r>
      <w:r w:rsidR="004E65F8" w:rsidRPr="00A96627">
        <w:rPr>
          <w:sz w:val="24"/>
          <w:szCs w:val="24"/>
        </w:rPr>
        <w:t>ionship</w:t>
      </w:r>
      <w:r w:rsidR="004B2D41" w:rsidRPr="00A96627">
        <w:rPr>
          <w:sz w:val="24"/>
          <w:szCs w:val="24"/>
        </w:rPr>
        <w:t xml:space="preserve"> for those goals to be met.</w:t>
      </w:r>
    </w:p>
    <w:p w14:paraId="21015290" w14:textId="77777777" w:rsidR="0026233A" w:rsidRDefault="0026233A">
      <w:pPr>
        <w:rPr>
          <w:sz w:val="24"/>
          <w:szCs w:val="24"/>
        </w:rPr>
      </w:pPr>
    </w:p>
    <w:p w14:paraId="4AD2FC3E" w14:textId="77777777" w:rsidR="00B362CB" w:rsidRDefault="00B362CB">
      <w:pPr>
        <w:rPr>
          <w:sz w:val="24"/>
          <w:szCs w:val="24"/>
        </w:rPr>
      </w:pPr>
    </w:p>
    <w:p w14:paraId="4AC91576" w14:textId="77777777" w:rsidR="0026233A" w:rsidRPr="00A96627" w:rsidRDefault="0026233A">
      <w:pPr>
        <w:rPr>
          <w:sz w:val="24"/>
          <w:szCs w:val="24"/>
        </w:rPr>
      </w:pPr>
    </w:p>
    <w:p w14:paraId="1E18B59F" w14:textId="7FF92E08" w:rsidR="00E30E15" w:rsidRPr="009C3FB2" w:rsidRDefault="004B2D41" w:rsidP="009C3FB2">
      <w:pPr>
        <w:pStyle w:val="ListParagraph"/>
        <w:numPr>
          <w:ilvl w:val="0"/>
          <w:numId w:val="11"/>
        </w:numPr>
        <w:rPr>
          <w:b/>
          <w:sz w:val="28"/>
          <w:szCs w:val="28"/>
        </w:rPr>
      </w:pPr>
      <w:r w:rsidRPr="009C3FB2">
        <w:rPr>
          <w:b/>
          <w:sz w:val="28"/>
          <w:szCs w:val="28"/>
        </w:rPr>
        <w:t>Recommendations</w:t>
      </w:r>
    </w:p>
    <w:p w14:paraId="200FF3C5" w14:textId="44C0849D" w:rsidR="003E69FB" w:rsidRPr="008526D7" w:rsidRDefault="003A7B2D">
      <w:pPr>
        <w:rPr>
          <w:sz w:val="24"/>
          <w:szCs w:val="24"/>
        </w:rPr>
      </w:pPr>
      <w:r w:rsidRPr="008526D7">
        <w:rPr>
          <w:sz w:val="24"/>
          <w:szCs w:val="24"/>
        </w:rPr>
        <w:t xml:space="preserve">Based </w:t>
      </w:r>
      <w:r w:rsidR="00D75F9E" w:rsidRPr="008526D7">
        <w:rPr>
          <w:sz w:val="24"/>
          <w:szCs w:val="24"/>
        </w:rPr>
        <w:t xml:space="preserve">on the review of DCFS data, policy and studies and stakeholder input, the following recommendations are made to address the challenges present in the Arkansas child welfare system.  These recommendations are ordered to begin with simpler, practical strategies that do not necessarily require </w:t>
      </w:r>
      <w:r w:rsidR="00D41362" w:rsidRPr="008526D7">
        <w:rPr>
          <w:sz w:val="24"/>
          <w:szCs w:val="24"/>
        </w:rPr>
        <w:t xml:space="preserve">significant </w:t>
      </w:r>
      <w:r w:rsidR="00D75F9E" w:rsidRPr="008526D7">
        <w:rPr>
          <w:sz w:val="24"/>
          <w:szCs w:val="24"/>
        </w:rPr>
        <w:t>additional resources.  They are followed by</w:t>
      </w:r>
      <w:r w:rsidR="009C3FB2" w:rsidRPr="008526D7">
        <w:rPr>
          <w:sz w:val="24"/>
          <w:szCs w:val="24"/>
        </w:rPr>
        <w:t xml:space="preserve"> other </w:t>
      </w:r>
      <w:r w:rsidR="00D41362" w:rsidRPr="008526D7">
        <w:rPr>
          <w:sz w:val="24"/>
          <w:szCs w:val="24"/>
        </w:rPr>
        <w:t xml:space="preserve">essential </w:t>
      </w:r>
      <w:r w:rsidR="00D75F9E" w:rsidRPr="008526D7">
        <w:rPr>
          <w:sz w:val="24"/>
          <w:szCs w:val="24"/>
        </w:rPr>
        <w:t xml:space="preserve">strategies that </w:t>
      </w:r>
      <w:r w:rsidR="00D41362" w:rsidRPr="008526D7">
        <w:rPr>
          <w:sz w:val="24"/>
          <w:szCs w:val="24"/>
        </w:rPr>
        <w:t>do</w:t>
      </w:r>
      <w:r w:rsidR="00D75F9E" w:rsidRPr="008526D7">
        <w:rPr>
          <w:sz w:val="24"/>
          <w:szCs w:val="24"/>
        </w:rPr>
        <w:t xml:space="preserve"> require additional financial investments.  </w:t>
      </w:r>
      <w:r w:rsidR="00717147" w:rsidRPr="008526D7">
        <w:rPr>
          <w:sz w:val="24"/>
          <w:szCs w:val="24"/>
        </w:rPr>
        <w:t>The challenges faced by the Arkansas child welfare system are so great that DCFS alone cannot solve them.</w:t>
      </w:r>
      <w:r w:rsidR="004C7F1A" w:rsidRPr="008526D7">
        <w:rPr>
          <w:sz w:val="24"/>
          <w:szCs w:val="24"/>
        </w:rPr>
        <w:t xml:space="preserve">  </w:t>
      </w:r>
      <w:r w:rsidR="00717147" w:rsidRPr="008526D7">
        <w:rPr>
          <w:sz w:val="24"/>
          <w:szCs w:val="24"/>
        </w:rPr>
        <w:t xml:space="preserve">  However it does have many partners in the </w:t>
      </w:r>
      <w:r w:rsidR="000D7344" w:rsidRPr="008526D7">
        <w:rPr>
          <w:sz w:val="24"/>
          <w:szCs w:val="24"/>
        </w:rPr>
        <w:t xml:space="preserve">public and </w:t>
      </w:r>
      <w:r w:rsidR="00717147" w:rsidRPr="008526D7">
        <w:rPr>
          <w:sz w:val="24"/>
          <w:szCs w:val="24"/>
        </w:rPr>
        <w:t xml:space="preserve">private sector who would be happy to have a role in </w:t>
      </w:r>
      <w:r w:rsidR="00CD1BCA" w:rsidRPr="008526D7">
        <w:rPr>
          <w:sz w:val="24"/>
          <w:szCs w:val="24"/>
        </w:rPr>
        <w:t>improving child and family outcomes.</w:t>
      </w:r>
      <w:r w:rsidR="00717147" w:rsidRPr="008526D7">
        <w:rPr>
          <w:sz w:val="24"/>
          <w:szCs w:val="24"/>
        </w:rPr>
        <w:t xml:space="preserve">  To foster greater stakeholder involvement</w:t>
      </w:r>
      <w:r w:rsidR="00B153F3" w:rsidRPr="008526D7">
        <w:rPr>
          <w:sz w:val="24"/>
          <w:szCs w:val="24"/>
        </w:rPr>
        <w:t xml:space="preserve">, </w:t>
      </w:r>
      <w:r w:rsidR="00CD1BCA" w:rsidRPr="008526D7">
        <w:rPr>
          <w:sz w:val="24"/>
          <w:szCs w:val="24"/>
        </w:rPr>
        <w:t>a</w:t>
      </w:r>
      <w:r w:rsidR="003E69FB" w:rsidRPr="008526D7">
        <w:rPr>
          <w:sz w:val="24"/>
          <w:szCs w:val="24"/>
        </w:rPr>
        <w:t xml:space="preserve"> number of the recommendations are designed to involve stakeholder</w:t>
      </w:r>
      <w:r w:rsidR="00717147" w:rsidRPr="008526D7">
        <w:rPr>
          <w:sz w:val="24"/>
          <w:szCs w:val="24"/>
        </w:rPr>
        <w:t>s</w:t>
      </w:r>
      <w:r w:rsidR="003E69FB" w:rsidRPr="008526D7">
        <w:rPr>
          <w:sz w:val="24"/>
          <w:szCs w:val="24"/>
        </w:rPr>
        <w:t xml:space="preserve"> </w:t>
      </w:r>
      <w:r w:rsidR="00717147" w:rsidRPr="008526D7">
        <w:rPr>
          <w:sz w:val="24"/>
          <w:szCs w:val="24"/>
        </w:rPr>
        <w:t>i</w:t>
      </w:r>
      <w:r w:rsidR="003E69FB" w:rsidRPr="008526D7">
        <w:rPr>
          <w:sz w:val="24"/>
          <w:szCs w:val="24"/>
        </w:rPr>
        <w:t>n problem</w:t>
      </w:r>
      <w:r w:rsidR="00864D83" w:rsidRPr="008526D7">
        <w:rPr>
          <w:sz w:val="24"/>
          <w:szCs w:val="24"/>
        </w:rPr>
        <w:t>-</w:t>
      </w:r>
      <w:r w:rsidR="003E69FB" w:rsidRPr="008526D7">
        <w:rPr>
          <w:sz w:val="24"/>
          <w:szCs w:val="24"/>
        </w:rPr>
        <w:t xml:space="preserve">solving, a dual strategy to concurrently strengthen DCFS-Stakeholder relationships.  </w:t>
      </w:r>
    </w:p>
    <w:p w14:paraId="1DF34385" w14:textId="7D4A0AB1" w:rsidR="00D75F9E" w:rsidRPr="008526D7" w:rsidRDefault="000D7344">
      <w:pPr>
        <w:rPr>
          <w:sz w:val="24"/>
          <w:szCs w:val="24"/>
        </w:rPr>
      </w:pPr>
      <w:r w:rsidRPr="008526D7">
        <w:rPr>
          <w:sz w:val="24"/>
          <w:szCs w:val="24"/>
        </w:rPr>
        <w:t>Arkansas</w:t>
      </w:r>
      <w:r w:rsidR="00D75F9E" w:rsidRPr="008526D7">
        <w:rPr>
          <w:sz w:val="24"/>
          <w:szCs w:val="24"/>
        </w:rPr>
        <w:t xml:space="preserve"> can make meaningful advances by implementing </w:t>
      </w:r>
      <w:r w:rsidR="00D41362" w:rsidRPr="008526D7">
        <w:rPr>
          <w:sz w:val="24"/>
          <w:szCs w:val="24"/>
        </w:rPr>
        <w:t xml:space="preserve">Recommendations </w:t>
      </w:r>
      <w:r w:rsidR="00D35CEA" w:rsidRPr="008526D7">
        <w:rPr>
          <w:sz w:val="24"/>
          <w:szCs w:val="24"/>
        </w:rPr>
        <w:t>1</w:t>
      </w:r>
      <w:r w:rsidR="00E074C8" w:rsidRPr="008526D7">
        <w:rPr>
          <w:sz w:val="24"/>
          <w:szCs w:val="24"/>
        </w:rPr>
        <w:t xml:space="preserve"> through </w:t>
      </w:r>
      <w:r w:rsidR="0026233A" w:rsidRPr="008526D7">
        <w:rPr>
          <w:sz w:val="24"/>
          <w:szCs w:val="24"/>
        </w:rPr>
        <w:t>8</w:t>
      </w:r>
      <w:r w:rsidR="00E074C8" w:rsidRPr="008526D7">
        <w:rPr>
          <w:sz w:val="24"/>
          <w:szCs w:val="24"/>
        </w:rPr>
        <w:t xml:space="preserve">, even with its limited resources.  </w:t>
      </w:r>
      <w:r w:rsidR="00D75F9E" w:rsidRPr="008526D7">
        <w:rPr>
          <w:sz w:val="24"/>
          <w:szCs w:val="24"/>
        </w:rPr>
        <w:t xml:space="preserve">However, the system cannot </w:t>
      </w:r>
      <w:r w:rsidR="00FD4FA0" w:rsidRPr="008526D7">
        <w:rPr>
          <w:sz w:val="24"/>
          <w:szCs w:val="24"/>
        </w:rPr>
        <w:t>fully meet expectations</w:t>
      </w:r>
      <w:r w:rsidR="00D75F9E" w:rsidRPr="008526D7">
        <w:rPr>
          <w:sz w:val="24"/>
          <w:szCs w:val="24"/>
        </w:rPr>
        <w:t xml:space="preserve"> and more importantly, significantly improve outcomes for families and children without </w:t>
      </w:r>
      <w:r w:rsidR="00D41362" w:rsidRPr="008526D7">
        <w:rPr>
          <w:sz w:val="24"/>
          <w:szCs w:val="24"/>
        </w:rPr>
        <w:t>addressing Recommendations</w:t>
      </w:r>
      <w:r w:rsidR="00CD1BCA" w:rsidRPr="008526D7">
        <w:rPr>
          <w:sz w:val="24"/>
          <w:szCs w:val="24"/>
        </w:rPr>
        <w:t xml:space="preserve"> </w:t>
      </w:r>
      <w:r w:rsidRPr="008526D7">
        <w:rPr>
          <w:sz w:val="24"/>
          <w:szCs w:val="24"/>
        </w:rPr>
        <w:t>9</w:t>
      </w:r>
      <w:r w:rsidR="00FD4FA0" w:rsidRPr="008526D7">
        <w:rPr>
          <w:sz w:val="24"/>
          <w:szCs w:val="24"/>
        </w:rPr>
        <w:t xml:space="preserve">, </w:t>
      </w:r>
      <w:r w:rsidR="00CD1BCA" w:rsidRPr="008526D7">
        <w:rPr>
          <w:sz w:val="24"/>
          <w:szCs w:val="24"/>
        </w:rPr>
        <w:t>Expanding Intensive H</w:t>
      </w:r>
      <w:r w:rsidR="0026233A" w:rsidRPr="008526D7">
        <w:rPr>
          <w:sz w:val="24"/>
          <w:szCs w:val="24"/>
        </w:rPr>
        <w:t>ome and Community-Based Mental H</w:t>
      </w:r>
      <w:r w:rsidR="00CD1BCA" w:rsidRPr="008526D7">
        <w:rPr>
          <w:sz w:val="24"/>
          <w:szCs w:val="24"/>
        </w:rPr>
        <w:t>ealth Resources</w:t>
      </w:r>
      <w:r w:rsidR="00D41362" w:rsidRPr="008526D7">
        <w:rPr>
          <w:sz w:val="24"/>
          <w:szCs w:val="24"/>
        </w:rPr>
        <w:t xml:space="preserve"> and</w:t>
      </w:r>
      <w:r w:rsidR="00CD1BCA" w:rsidRPr="008526D7">
        <w:rPr>
          <w:sz w:val="24"/>
          <w:szCs w:val="24"/>
        </w:rPr>
        <w:t xml:space="preserve"> </w:t>
      </w:r>
      <w:r w:rsidRPr="008526D7">
        <w:rPr>
          <w:sz w:val="24"/>
          <w:szCs w:val="24"/>
        </w:rPr>
        <w:t>10</w:t>
      </w:r>
      <w:r w:rsidR="00CD1BCA" w:rsidRPr="008526D7">
        <w:rPr>
          <w:sz w:val="24"/>
          <w:szCs w:val="24"/>
        </w:rPr>
        <w:t>, Reducing DCFS Caseloads.</w:t>
      </w:r>
      <w:r w:rsidR="00E074C8" w:rsidRPr="008526D7">
        <w:rPr>
          <w:sz w:val="24"/>
          <w:szCs w:val="24"/>
        </w:rPr>
        <w:t xml:space="preserve">  Implementing </w:t>
      </w:r>
      <w:r w:rsidR="00C503AC" w:rsidRPr="008526D7">
        <w:rPr>
          <w:sz w:val="24"/>
          <w:szCs w:val="24"/>
        </w:rPr>
        <w:t>these two reco</w:t>
      </w:r>
      <w:r w:rsidR="00E074C8" w:rsidRPr="008526D7">
        <w:rPr>
          <w:sz w:val="24"/>
          <w:szCs w:val="24"/>
        </w:rPr>
        <w:t>mmendations</w:t>
      </w:r>
      <w:r w:rsidR="00C503AC" w:rsidRPr="008526D7">
        <w:rPr>
          <w:sz w:val="24"/>
          <w:szCs w:val="24"/>
        </w:rPr>
        <w:t xml:space="preserve"> will require additional financial investments.</w:t>
      </w:r>
    </w:p>
    <w:p w14:paraId="643D689E" w14:textId="6A4A77F0" w:rsidR="001279D5" w:rsidRPr="008526D7" w:rsidRDefault="001D21F5" w:rsidP="001D21F5">
      <w:pPr>
        <w:pStyle w:val="ListParagraph"/>
        <w:numPr>
          <w:ilvl w:val="0"/>
          <w:numId w:val="9"/>
        </w:numPr>
        <w:rPr>
          <w:b/>
          <w:sz w:val="24"/>
          <w:szCs w:val="24"/>
        </w:rPr>
      </w:pPr>
      <w:r w:rsidRPr="008526D7">
        <w:rPr>
          <w:b/>
          <w:sz w:val="24"/>
          <w:szCs w:val="24"/>
        </w:rPr>
        <w:t xml:space="preserve">Designate a Staff Member in the Governor’s Office to Coordinate </w:t>
      </w:r>
      <w:r w:rsidR="00331AD6" w:rsidRPr="008526D7">
        <w:rPr>
          <w:b/>
          <w:sz w:val="24"/>
          <w:szCs w:val="24"/>
        </w:rPr>
        <w:t>Intera</w:t>
      </w:r>
      <w:r w:rsidRPr="008526D7">
        <w:rPr>
          <w:b/>
          <w:sz w:val="24"/>
          <w:szCs w:val="24"/>
        </w:rPr>
        <w:t xml:space="preserve">gency Planning and System </w:t>
      </w:r>
      <w:r w:rsidR="00331AD6" w:rsidRPr="008526D7">
        <w:rPr>
          <w:b/>
          <w:sz w:val="24"/>
          <w:szCs w:val="24"/>
        </w:rPr>
        <w:t>Collaboration</w:t>
      </w:r>
      <w:r w:rsidRPr="008526D7">
        <w:rPr>
          <w:b/>
          <w:sz w:val="24"/>
          <w:szCs w:val="24"/>
        </w:rPr>
        <w:t xml:space="preserve"> for Children, Youth and Family Services</w:t>
      </w:r>
    </w:p>
    <w:p w14:paraId="2951F087" w14:textId="330B8E2E" w:rsidR="001279D5" w:rsidRPr="008526D7" w:rsidRDefault="001279D5" w:rsidP="001279D5">
      <w:pPr>
        <w:rPr>
          <w:sz w:val="24"/>
          <w:szCs w:val="24"/>
        </w:rPr>
      </w:pPr>
      <w:r w:rsidRPr="008526D7">
        <w:rPr>
          <w:sz w:val="24"/>
          <w:szCs w:val="24"/>
        </w:rPr>
        <w:t>The Arkansas child welfare system is interdependent not only with its private partners, but also with judges, behavioral health, Medicaid, the Administrative Office of Courts, law enforcement, youth services and the legislature.  For DCFS to overcome the challenges it faces, the coordinated support of all of these entities is essential.  However</w:t>
      </w:r>
      <w:r w:rsidR="003A7B2D" w:rsidRPr="008526D7">
        <w:rPr>
          <w:sz w:val="24"/>
          <w:szCs w:val="24"/>
        </w:rPr>
        <w:t>,</w:t>
      </w:r>
      <w:r w:rsidRPr="008526D7">
        <w:rPr>
          <w:sz w:val="24"/>
          <w:szCs w:val="24"/>
        </w:rPr>
        <w:t xml:space="preserve"> DCFS alone does not have the standing or leverage to facilitate effective partnerships with so many diverse stakeholders.   To create a functional coalition of all of these partners, each of which has its own challenges, strong leadership is essential.  </w:t>
      </w:r>
    </w:p>
    <w:p w14:paraId="1380D1BB" w14:textId="68E119FC" w:rsidR="003A7B2D" w:rsidRPr="008526D7" w:rsidRDefault="001D21F5" w:rsidP="001279D5">
      <w:pPr>
        <w:rPr>
          <w:sz w:val="24"/>
          <w:szCs w:val="24"/>
        </w:rPr>
      </w:pPr>
      <w:r w:rsidRPr="008526D7">
        <w:rPr>
          <w:sz w:val="24"/>
          <w:szCs w:val="24"/>
        </w:rPr>
        <w:t xml:space="preserve">Appoint a staff member within the Governor’s office to </w:t>
      </w:r>
      <w:r w:rsidR="003A7B2D" w:rsidRPr="008526D7">
        <w:rPr>
          <w:sz w:val="24"/>
          <w:szCs w:val="24"/>
        </w:rPr>
        <w:t>coordinate</w:t>
      </w:r>
      <w:r w:rsidRPr="008526D7">
        <w:rPr>
          <w:sz w:val="24"/>
          <w:szCs w:val="24"/>
        </w:rPr>
        <w:t xml:space="preserve"> </w:t>
      </w:r>
      <w:r w:rsidR="00331AD6" w:rsidRPr="008526D7">
        <w:rPr>
          <w:sz w:val="24"/>
          <w:szCs w:val="24"/>
        </w:rPr>
        <w:t>interagency planning and system collaboration</w:t>
      </w:r>
      <w:r w:rsidRPr="008526D7">
        <w:rPr>
          <w:sz w:val="24"/>
          <w:szCs w:val="24"/>
        </w:rPr>
        <w:t xml:space="preserve"> for children, youth and family services.  </w:t>
      </w:r>
      <w:r w:rsidR="003A7B2D" w:rsidRPr="008526D7">
        <w:rPr>
          <w:sz w:val="24"/>
          <w:szCs w:val="24"/>
        </w:rPr>
        <w:t>The first objective of this office should be assisting with implementation of improvements in child welfare, including, but not limited to consideration of the recommendations of this report.</w:t>
      </w:r>
    </w:p>
    <w:p w14:paraId="04AAF160" w14:textId="50FF4B98" w:rsidR="00651533" w:rsidRPr="008526D7" w:rsidRDefault="00651533" w:rsidP="00651533">
      <w:pPr>
        <w:pStyle w:val="ListParagraph"/>
        <w:numPr>
          <w:ilvl w:val="0"/>
          <w:numId w:val="9"/>
        </w:numPr>
        <w:rPr>
          <w:b/>
          <w:sz w:val="24"/>
          <w:szCs w:val="24"/>
        </w:rPr>
      </w:pPr>
      <w:r w:rsidRPr="008526D7">
        <w:rPr>
          <w:b/>
          <w:sz w:val="24"/>
          <w:szCs w:val="24"/>
        </w:rPr>
        <w:t xml:space="preserve">             Build DCFS Capacity to Partner with Stakeholders</w:t>
      </w:r>
    </w:p>
    <w:p w14:paraId="6186B21D" w14:textId="064FA67A" w:rsidR="00D72108" w:rsidRPr="008526D7" w:rsidRDefault="00D72108" w:rsidP="00D72108">
      <w:pPr>
        <w:rPr>
          <w:sz w:val="24"/>
          <w:szCs w:val="24"/>
        </w:rPr>
      </w:pPr>
      <w:r w:rsidRPr="008526D7">
        <w:rPr>
          <w:sz w:val="24"/>
          <w:szCs w:val="24"/>
        </w:rPr>
        <w:t xml:space="preserve">The resource obstacles to achieving the potential of the Arkansas child welfare system are significant enough that DCFS must engage its community partners in developing and implementing a common strategy to substantially improve outcomes for children and families.  Developing this partnership will take time, energy and </w:t>
      </w:r>
      <w:r w:rsidR="00D35CEA" w:rsidRPr="008526D7">
        <w:rPr>
          <w:sz w:val="24"/>
          <w:szCs w:val="24"/>
        </w:rPr>
        <w:t>perseverance</w:t>
      </w:r>
      <w:r w:rsidRPr="008526D7">
        <w:rPr>
          <w:sz w:val="24"/>
          <w:szCs w:val="24"/>
        </w:rPr>
        <w:t>,</w:t>
      </w:r>
      <w:r w:rsidR="00EA485D" w:rsidRPr="008526D7">
        <w:rPr>
          <w:sz w:val="24"/>
          <w:szCs w:val="24"/>
        </w:rPr>
        <w:t xml:space="preserve"> all of which will tax the resources of the current DCFS leadership team.  Relationships need to be strengthened not </w:t>
      </w:r>
      <w:r w:rsidR="00D35CEA" w:rsidRPr="008526D7">
        <w:rPr>
          <w:sz w:val="24"/>
          <w:szCs w:val="24"/>
        </w:rPr>
        <w:t>only within</w:t>
      </w:r>
      <w:r w:rsidR="00EA485D" w:rsidRPr="008526D7">
        <w:rPr>
          <w:sz w:val="24"/>
          <w:szCs w:val="24"/>
        </w:rPr>
        <w:t xml:space="preserve"> the voluntary sector; they also need to be maximized with other Divisions of DHS and other state agencies.  </w:t>
      </w:r>
    </w:p>
    <w:p w14:paraId="5D91FE3B" w14:textId="0B6123FE" w:rsidR="00EA485D" w:rsidRPr="008526D7" w:rsidRDefault="003A7B2D" w:rsidP="00D72108">
      <w:pPr>
        <w:rPr>
          <w:sz w:val="24"/>
          <w:szCs w:val="24"/>
        </w:rPr>
      </w:pPr>
      <w:r w:rsidRPr="008526D7">
        <w:rPr>
          <w:sz w:val="24"/>
          <w:szCs w:val="24"/>
        </w:rPr>
        <w:t xml:space="preserve">With the support of the proposed Office of Children and Youth, </w:t>
      </w:r>
      <w:r w:rsidR="0019323C" w:rsidRPr="008526D7">
        <w:rPr>
          <w:sz w:val="24"/>
          <w:szCs w:val="24"/>
        </w:rPr>
        <w:t xml:space="preserve">DCFS should </w:t>
      </w:r>
      <w:r w:rsidR="00797333" w:rsidRPr="008526D7">
        <w:rPr>
          <w:sz w:val="24"/>
          <w:szCs w:val="24"/>
        </w:rPr>
        <w:t xml:space="preserve">establish an independent stakeholder panel to provide input into a formal plan to implement the recommendations of this report.  Drafting of the plan should involve stakeholders as active workgroup members.  </w:t>
      </w:r>
      <w:r w:rsidR="0019323C" w:rsidRPr="008526D7">
        <w:rPr>
          <w:sz w:val="24"/>
          <w:szCs w:val="24"/>
        </w:rPr>
        <w:t>This initiative is important enough to merit a specific accountability process to track not only engagement with stakeholders, but also the implementation of the other recommendations in this report.  This accountability</w:t>
      </w:r>
      <w:r w:rsidR="00D32A48" w:rsidRPr="008526D7">
        <w:rPr>
          <w:sz w:val="24"/>
          <w:szCs w:val="24"/>
        </w:rPr>
        <w:t xml:space="preserve"> process should </w:t>
      </w:r>
      <w:r w:rsidR="00797333" w:rsidRPr="008526D7">
        <w:rPr>
          <w:sz w:val="24"/>
          <w:szCs w:val="24"/>
        </w:rPr>
        <w:t>be facilitated by the</w:t>
      </w:r>
      <w:r w:rsidR="00D32A48" w:rsidRPr="008526D7">
        <w:rPr>
          <w:sz w:val="24"/>
          <w:szCs w:val="24"/>
        </w:rPr>
        <w:t xml:space="preserve"> independent </w:t>
      </w:r>
      <w:r w:rsidR="00797333" w:rsidRPr="008526D7">
        <w:rPr>
          <w:sz w:val="24"/>
          <w:szCs w:val="24"/>
        </w:rPr>
        <w:t xml:space="preserve">stakeholder </w:t>
      </w:r>
      <w:r w:rsidR="00D32A48" w:rsidRPr="008526D7">
        <w:rPr>
          <w:sz w:val="24"/>
          <w:szCs w:val="24"/>
        </w:rPr>
        <w:t>panel</w:t>
      </w:r>
      <w:r w:rsidR="00797333" w:rsidRPr="008526D7">
        <w:rPr>
          <w:sz w:val="24"/>
          <w:szCs w:val="24"/>
        </w:rPr>
        <w:t>, which should issue periodic reports about implementation progress.</w:t>
      </w:r>
    </w:p>
    <w:p w14:paraId="6BE68FCA" w14:textId="28AE7A27" w:rsidR="00EA485D" w:rsidRPr="008526D7" w:rsidRDefault="00D73AD4" w:rsidP="00D72108">
      <w:pPr>
        <w:rPr>
          <w:sz w:val="24"/>
          <w:szCs w:val="24"/>
        </w:rPr>
      </w:pPr>
      <w:r w:rsidRPr="008526D7">
        <w:rPr>
          <w:sz w:val="24"/>
          <w:szCs w:val="24"/>
        </w:rPr>
        <w:t>Casey Family Programs has extensive experience in developing stakeholder partnerships and reform design.  They might be enlisted as an ally in this effort.</w:t>
      </w:r>
    </w:p>
    <w:p w14:paraId="4F10E7F9" w14:textId="6F1D226E" w:rsidR="00F67876" w:rsidRPr="008526D7" w:rsidRDefault="00F67876" w:rsidP="00651533">
      <w:pPr>
        <w:pStyle w:val="ListParagraph"/>
        <w:numPr>
          <w:ilvl w:val="0"/>
          <w:numId w:val="9"/>
        </w:numPr>
        <w:rPr>
          <w:b/>
          <w:sz w:val="24"/>
          <w:szCs w:val="24"/>
        </w:rPr>
      </w:pPr>
      <w:r w:rsidRPr="008526D7">
        <w:rPr>
          <w:b/>
          <w:sz w:val="24"/>
          <w:szCs w:val="24"/>
        </w:rPr>
        <w:tab/>
        <w:t>Address the Placement Challenge</w:t>
      </w:r>
    </w:p>
    <w:p w14:paraId="56A00ABB" w14:textId="41A2236F" w:rsidR="00F67876" w:rsidRPr="008526D7" w:rsidRDefault="00F67876" w:rsidP="00F67876">
      <w:pPr>
        <w:rPr>
          <w:sz w:val="24"/>
          <w:szCs w:val="24"/>
        </w:rPr>
      </w:pPr>
      <w:r w:rsidRPr="008526D7">
        <w:rPr>
          <w:sz w:val="24"/>
          <w:szCs w:val="24"/>
        </w:rPr>
        <w:t>Many of the Division’s challenges are a result of limited resources; however the lack of appropriate placements in close proximity to children’s home is the most critical.  And given the recent increase in the number of children placed in out-of-home care, the problem is getting worse.  Increasing the use of relative placements is the simplest and most promising next step toward expanding placement options.  DCFS</w:t>
      </w:r>
      <w:r w:rsidR="00B362CB">
        <w:rPr>
          <w:sz w:val="24"/>
          <w:szCs w:val="24"/>
        </w:rPr>
        <w:t xml:space="preserve"> staff and stakeholders identified</w:t>
      </w:r>
      <w:r w:rsidRPr="008526D7">
        <w:rPr>
          <w:sz w:val="24"/>
          <w:szCs w:val="24"/>
        </w:rPr>
        <w:t xml:space="preserve"> a number of factors limiting the use of relatives.  Attitudes toward the suitability of relatives as caregivers on the part of some staff, judges and other legal partners were frequently mentioned as a barrier.  This negative view seems to be most prominent among those who view some extended families as sharing </w:t>
      </w:r>
      <w:r w:rsidR="007B6B12" w:rsidRPr="008526D7">
        <w:rPr>
          <w:sz w:val="24"/>
          <w:szCs w:val="24"/>
        </w:rPr>
        <w:t>a common</w:t>
      </w:r>
      <w:r w:rsidRPr="008526D7">
        <w:rPr>
          <w:sz w:val="24"/>
          <w:szCs w:val="24"/>
        </w:rPr>
        <w:t xml:space="preserve"> lack of caregiving capacities.  However there are numerous staff and legal partners who see relatives as a valuable untapped resource and point to sys</w:t>
      </w:r>
      <w:r w:rsidR="0026233A" w:rsidRPr="008526D7">
        <w:rPr>
          <w:sz w:val="24"/>
          <w:szCs w:val="24"/>
        </w:rPr>
        <w:t>tem barriers that</w:t>
      </w:r>
      <w:r w:rsidRPr="008526D7">
        <w:rPr>
          <w:sz w:val="24"/>
          <w:szCs w:val="24"/>
        </w:rPr>
        <w:t xml:space="preserve"> impede rela</w:t>
      </w:r>
      <w:r w:rsidR="00381DC5" w:rsidRPr="008526D7">
        <w:rPr>
          <w:sz w:val="24"/>
          <w:szCs w:val="24"/>
        </w:rPr>
        <w:t>tive availability as placements</w:t>
      </w:r>
      <w:r w:rsidRPr="008526D7">
        <w:rPr>
          <w:sz w:val="24"/>
          <w:szCs w:val="24"/>
        </w:rPr>
        <w:t>.</w:t>
      </w:r>
    </w:p>
    <w:p w14:paraId="54C88884" w14:textId="7D0A9D0A" w:rsidR="00F67876" w:rsidRPr="008526D7" w:rsidRDefault="00F67876" w:rsidP="00F67876">
      <w:pPr>
        <w:rPr>
          <w:sz w:val="24"/>
          <w:szCs w:val="24"/>
        </w:rPr>
      </w:pPr>
      <w:r w:rsidRPr="008526D7">
        <w:rPr>
          <w:sz w:val="24"/>
          <w:szCs w:val="24"/>
        </w:rPr>
        <w:t xml:space="preserve">The process of enlisting relatives as caregivers  and granting provisional approval as caregivers can be slowed by training requirements, criminal background checks and where relevant, </w:t>
      </w:r>
      <w:r w:rsidR="009C3FB2" w:rsidRPr="008526D7">
        <w:rPr>
          <w:sz w:val="24"/>
          <w:szCs w:val="24"/>
        </w:rPr>
        <w:t xml:space="preserve">delays in </w:t>
      </w:r>
      <w:r w:rsidRPr="008526D7">
        <w:rPr>
          <w:sz w:val="24"/>
          <w:szCs w:val="24"/>
        </w:rPr>
        <w:t xml:space="preserve">waiver approvals, </w:t>
      </w:r>
      <w:r w:rsidR="009C3FB2" w:rsidRPr="008526D7">
        <w:rPr>
          <w:sz w:val="24"/>
          <w:szCs w:val="24"/>
        </w:rPr>
        <w:t>un</w:t>
      </w:r>
      <w:r w:rsidRPr="008526D7">
        <w:rPr>
          <w:sz w:val="24"/>
          <w:szCs w:val="24"/>
        </w:rPr>
        <w:t xml:space="preserve">timely board payments and </w:t>
      </w:r>
      <w:r w:rsidR="009C3FB2" w:rsidRPr="008526D7">
        <w:rPr>
          <w:sz w:val="24"/>
          <w:szCs w:val="24"/>
        </w:rPr>
        <w:t xml:space="preserve">delays in </w:t>
      </w:r>
      <w:r w:rsidRPr="008526D7">
        <w:rPr>
          <w:sz w:val="24"/>
          <w:szCs w:val="24"/>
        </w:rPr>
        <w:t xml:space="preserve">Medicaid eligibility.  When children need additional </w:t>
      </w:r>
      <w:r w:rsidR="00B153F3" w:rsidRPr="008526D7">
        <w:rPr>
          <w:sz w:val="24"/>
          <w:szCs w:val="24"/>
        </w:rPr>
        <w:t>assistance,</w:t>
      </w:r>
      <w:r w:rsidRPr="008526D7">
        <w:rPr>
          <w:sz w:val="24"/>
          <w:szCs w:val="24"/>
        </w:rPr>
        <w:t xml:space="preserve"> limited supportive services negatively affect relative caregivers to the same degree as they do foster parents.  The foster home recruitment and retention process also needs attention.  Several stakeholders involved in recruitment shared creative ideas to increase foster and adoptive home capacity.</w:t>
      </w:r>
    </w:p>
    <w:p w14:paraId="2C2A0EF7" w14:textId="77777777" w:rsidR="00F67876" w:rsidRPr="008526D7" w:rsidRDefault="00F67876" w:rsidP="00F67876">
      <w:pPr>
        <w:rPr>
          <w:sz w:val="24"/>
          <w:szCs w:val="24"/>
        </w:rPr>
      </w:pPr>
      <w:r w:rsidRPr="008526D7">
        <w:rPr>
          <w:sz w:val="24"/>
          <w:szCs w:val="24"/>
        </w:rPr>
        <w:t>The following steps are recommended:</w:t>
      </w:r>
    </w:p>
    <w:p w14:paraId="648CD97E" w14:textId="0BBE4A34" w:rsidR="00F67876" w:rsidRPr="008526D7" w:rsidRDefault="00F67876" w:rsidP="00303772">
      <w:pPr>
        <w:pStyle w:val="ListParagraph"/>
        <w:numPr>
          <w:ilvl w:val="0"/>
          <w:numId w:val="3"/>
        </w:numPr>
        <w:rPr>
          <w:sz w:val="24"/>
          <w:szCs w:val="24"/>
        </w:rPr>
      </w:pPr>
      <w:r w:rsidRPr="008526D7">
        <w:rPr>
          <w:sz w:val="24"/>
          <w:szCs w:val="24"/>
        </w:rPr>
        <w:t>Convene a work group consisting of DCFS recruitment staff, representatives of the major faith-based  organizations involved in recruitment and retention activities, current  kinship, foster home and adoptive caregivers and judicial representatives  and other legal partners to develop a joint plan to expand</w:t>
      </w:r>
      <w:r w:rsidR="00303772" w:rsidRPr="008526D7">
        <w:rPr>
          <w:sz w:val="24"/>
          <w:szCs w:val="24"/>
        </w:rPr>
        <w:t xml:space="preserve"> the use of relatives</w:t>
      </w:r>
      <w:r w:rsidR="0009130C" w:rsidRPr="008526D7">
        <w:rPr>
          <w:sz w:val="24"/>
          <w:szCs w:val="24"/>
        </w:rPr>
        <w:t xml:space="preserve"> and guardianships</w:t>
      </w:r>
      <w:r w:rsidR="00303772" w:rsidRPr="008526D7">
        <w:rPr>
          <w:sz w:val="24"/>
          <w:szCs w:val="24"/>
        </w:rPr>
        <w:t xml:space="preserve">,  recruit and retain new </w:t>
      </w:r>
      <w:r w:rsidR="00CD1BCA" w:rsidRPr="008526D7">
        <w:rPr>
          <w:sz w:val="24"/>
          <w:szCs w:val="24"/>
        </w:rPr>
        <w:t>placement family foster homes</w:t>
      </w:r>
      <w:r w:rsidR="00303772" w:rsidRPr="008526D7">
        <w:rPr>
          <w:sz w:val="24"/>
          <w:szCs w:val="24"/>
        </w:rPr>
        <w:t xml:space="preserve"> and strengthen post-adoptive supports.</w:t>
      </w:r>
    </w:p>
    <w:p w14:paraId="20D0206B" w14:textId="7724A8A3" w:rsidR="004565AE" w:rsidRPr="008526D7" w:rsidRDefault="004565AE" w:rsidP="00303772">
      <w:pPr>
        <w:pStyle w:val="ListParagraph"/>
        <w:numPr>
          <w:ilvl w:val="0"/>
          <w:numId w:val="3"/>
        </w:numPr>
        <w:rPr>
          <w:sz w:val="24"/>
          <w:szCs w:val="24"/>
        </w:rPr>
      </w:pPr>
      <w:r w:rsidRPr="008526D7">
        <w:rPr>
          <w:sz w:val="24"/>
          <w:szCs w:val="24"/>
        </w:rPr>
        <w:t>Provide training to staff on caregiver engagement</w:t>
      </w:r>
      <w:r w:rsidR="00F21092" w:rsidRPr="008526D7">
        <w:rPr>
          <w:sz w:val="24"/>
          <w:szCs w:val="24"/>
        </w:rPr>
        <w:t>, especially relative caregivers,</w:t>
      </w:r>
      <w:r w:rsidRPr="008526D7">
        <w:rPr>
          <w:sz w:val="24"/>
          <w:szCs w:val="24"/>
        </w:rPr>
        <w:t xml:space="preserve"> and family finding. </w:t>
      </w:r>
    </w:p>
    <w:p w14:paraId="79A524C6" w14:textId="1CCF080A" w:rsidR="00381DC5" w:rsidRPr="008526D7" w:rsidRDefault="00381DC5" w:rsidP="00303772">
      <w:pPr>
        <w:pStyle w:val="ListParagraph"/>
        <w:numPr>
          <w:ilvl w:val="0"/>
          <w:numId w:val="3"/>
        </w:numPr>
        <w:rPr>
          <w:sz w:val="24"/>
          <w:szCs w:val="24"/>
        </w:rPr>
      </w:pPr>
      <w:r w:rsidRPr="008526D7">
        <w:rPr>
          <w:sz w:val="24"/>
          <w:szCs w:val="24"/>
        </w:rPr>
        <w:t xml:space="preserve">Borrowing </w:t>
      </w:r>
      <w:r w:rsidR="004B2D41" w:rsidRPr="008526D7">
        <w:rPr>
          <w:sz w:val="24"/>
          <w:szCs w:val="24"/>
        </w:rPr>
        <w:t>a strategy</w:t>
      </w:r>
      <w:r w:rsidRPr="008526D7">
        <w:rPr>
          <w:sz w:val="24"/>
          <w:szCs w:val="24"/>
        </w:rPr>
        <w:t xml:space="preserve"> from a judge who was interviewed, </w:t>
      </w:r>
      <w:r w:rsidR="004B2D41" w:rsidRPr="008526D7">
        <w:rPr>
          <w:sz w:val="24"/>
          <w:szCs w:val="24"/>
        </w:rPr>
        <w:t xml:space="preserve">develop a process whereby when DCFS determines that a relative might be a suitable placement option, prior to the court hearing DCFS should complete background checks and assess the relative’s home.  In doing so, the court could approve the relative placement in court, avoiding a short-term, interim placement.  </w:t>
      </w:r>
    </w:p>
    <w:p w14:paraId="3B194B11" w14:textId="7AA749F7" w:rsidR="00303772" w:rsidRPr="008526D7" w:rsidRDefault="00303772" w:rsidP="00303772">
      <w:pPr>
        <w:pStyle w:val="ListParagraph"/>
        <w:numPr>
          <w:ilvl w:val="0"/>
          <w:numId w:val="3"/>
        </w:numPr>
        <w:rPr>
          <w:sz w:val="24"/>
          <w:szCs w:val="24"/>
        </w:rPr>
      </w:pPr>
      <w:r w:rsidRPr="008526D7">
        <w:rPr>
          <w:sz w:val="24"/>
          <w:szCs w:val="24"/>
        </w:rPr>
        <w:t>Resume licensing of respite homes to provide support for current caregivers struggling with challenging children and youth.</w:t>
      </w:r>
    </w:p>
    <w:p w14:paraId="4D742393" w14:textId="7D37C554" w:rsidR="004B2D41" w:rsidRPr="008526D7" w:rsidRDefault="004B2D41" w:rsidP="00303772">
      <w:pPr>
        <w:pStyle w:val="ListParagraph"/>
        <w:numPr>
          <w:ilvl w:val="0"/>
          <w:numId w:val="3"/>
        </w:numPr>
        <w:rPr>
          <w:sz w:val="24"/>
          <w:szCs w:val="24"/>
        </w:rPr>
      </w:pPr>
      <w:r w:rsidRPr="008526D7">
        <w:rPr>
          <w:sz w:val="24"/>
          <w:szCs w:val="24"/>
        </w:rPr>
        <w:t>Consider a system used in Utah, where child welfare foster care support staff organize foster parents living in rel</w:t>
      </w:r>
      <w:r w:rsidR="00651533" w:rsidRPr="008526D7">
        <w:rPr>
          <w:sz w:val="24"/>
          <w:szCs w:val="24"/>
        </w:rPr>
        <w:t>ative proximity to each other in</w:t>
      </w:r>
      <w:r w:rsidRPr="008526D7">
        <w:rPr>
          <w:sz w:val="24"/>
          <w:szCs w:val="24"/>
        </w:rPr>
        <w:t xml:space="preserve"> </w:t>
      </w:r>
      <w:r w:rsidR="009C3FB2" w:rsidRPr="008526D7">
        <w:rPr>
          <w:sz w:val="24"/>
          <w:szCs w:val="24"/>
        </w:rPr>
        <w:t xml:space="preserve">geographic </w:t>
      </w:r>
      <w:r w:rsidRPr="008526D7">
        <w:rPr>
          <w:sz w:val="24"/>
          <w:szCs w:val="24"/>
        </w:rPr>
        <w:t>“Clusters”.  Utah staff convene foster parents in these clusters for information</w:t>
      </w:r>
      <w:r w:rsidR="00B362CB">
        <w:rPr>
          <w:sz w:val="24"/>
          <w:szCs w:val="24"/>
        </w:rPr>
        <w:t>-</w:t>
      </w:r>
      <w:r w:rsidRPr="008526D7">
        <w:rPr>
          <w:sz w:val="24"/>
          <w:szCs w:val="24"/>
        </w:rPr>
        <w:t>sharing and problem</w:t>
      </w:r>
      <w:r w:rsidR="00B362CB">
        <w:rPr>
          <w:sz w:val="24"/>
          <w:szCs w:val="24"/>
        </w:rPr>
        <w:t>-</w:t>
      </w:r>
      <w:r w:rsidRPr="008526D7">
        <w:rPr>
          <w:sz w:val="24"/>
          <w:szCs w:val="24"/>
        </w:rPr>
        <w:t xml:space="preserve"> solving related to day-to-day fostering issues.  Foster parents also use their cluster peers as respite resources and sources of</w:t>
      </w:r>
      <w:r w:rsidR="00651533" w:rsidRPr="008526D7">
        <w:rPr>
          <w:sz w:val="24"/>
          <w:szCs w:val="24"/>
        </w:rPr>
        <w:t xml:space="preserve"> advice and</w:t>
      </w:r>
      <w:r w:rsidRPr="008526D7">
        <w:rPr>
          <w:sz w:val="24"/>
          <w:szCs w:val="24"/>
        </w:rPr>
        <w:t xml:space="preserve"> peer support.</w:t>
      </w:r>
    </w:p>
    <w:p w14:paraId="6B5B2C36" w14:textId="7BC8024B" w:rsidR="00303772" w:rsidRPr="008526D7" w:rsidRDefault="00303772" w:rsidP="00303772">
      <w:pPr>
        <w:pStyle w:val="ListParagraph"/>
        <w:numPr>
          <w:ilvl w:val="0"/>
          <w:numId w:val="3"/>
        </w:numPr>
        <w:rPr>
          <w:sz w:val="24"/>
          <w:szCs w:val="24"/>
        </w:rPr>
      </w:pPr>
      <w:r w:rsidRPr="008526D7">
        <w:rPr>
          <w:sz w:val="24"/>
          <w:szCs w:val="24"/>
        </w:rPr>
        <w:t>Create an ongoing forum in which Community Engagement Specialists and staff of other foster and adoption recruitment organizations, such as The Call, meet regularly to coordinate their recruitment efforts, share recruitment and retention strategies and develop new approaches to placement development.</w:t>
      </w:r>
    </w:p>
    <w:p w14:paraId="6C260C2B" w14:textId="62B28D8A" w:rsidR="00303772" w:rsidRPr="008526D7" w:rsidRDefault="00303772" w:rsidP="00303772">
      <w:pPr>
        <w:pStyle w:val="ListParagraph"/>
        <w:numPr>
          <w:ilvl w:val="0"/>
          <w:numId w:val="3"/>
        </w:numPr>
        <w:rPr>
          <w:sz w:val="24"/>
          <w:szCs w:val="24"/>
        </w:rPr>
      </w:pPr>
      <w:r w:rsidRPr="008526D7">
        <w:rPr>
          <w:sz w:val="24"/>
          <w:szCs w:val="24"/>
        </w:rPr>
        <w:t xml:space="preserve">Develop a strategy to compress the length of time required to complete foster parent training so foster families and relative caregivers </w:t>
      </w:r>
      <w:r w:rsidR="00864D83" w:rsidRPr="008526D7">
        <w:rPr>
          <w:sz w:val="24"/>
          <w:szCs w:val="24"/>
        </w:rPr>
        <w:t>will have the option to</w:t>
      </w:r>
      <w:r w:rsidRPr="008526D7">
        <w:rPr>
          <w:sz w:val="24"/>
          <w:szCs w:val="24"/>
        </w:rPr>
        <w:t xml:space="preserve"> be licensed or approved more quickly.</w:t>
      </w:r>
    </w:p>
    <w:p w14:paraId="1DB8911A" w14:textId="10EDB7D6" w:rsidR="00303772" w:rsidRPr="008526D7" w:rsidRDefault="00303772" w:rsidP="00303772">
      <w:pPr>
        <w:pStyle w:val="ListParagraph"/>
        <w:numPr>
          <w:ilvl w:val="0"/>
          <w:numId w:val="3"/>
        </w:numPr>
        <w:rPr>
          <w:sz w:val="24"/>
          <w:szCs w:val="24"/>
        </w:rPr>
      </w:pPr>
      <w:r w:rsidRPr="008526D7">
        <w:rPr>
          <w:sz w:val="24"/>
          <w:szCs w:val="24"/>
        </w:rPr>
        <w:t xml:space="preserve">DHS should convene a meeting between DCFS and Medicaid leadership to identify </w:t>
      </w:r>
      <w:r w:rsidR="00772DAD" w:rsidRPr="008526D7">
        <w:rPr>
          <w:sz w:val="24"/>
          <w:szCs w:val="24"/>
        </w:rPr>
        <w:t>a</w:t>
      </w:r>
      <w:r w:rsidRPr="008526D7">
        <w:rPr>
          <w:sz w:val="24"/>
          <w:szCs w:val="24"/>
        </w:rPr>
        <w:t>dministrative delays in initiating Medicaid so there are no lapses</w:t>
      </w:r>
      <w:r w:rsidR="00772DAD" w:rsidRPr="008526D7">
        <w:rPr>
          <w:sz w:val="24"/>
          <w:szCs w:val="24"/>
        </w:rPr>
        <w:t xml:space="preserve"> in coverage for caregivers.</w:t>
      </w:r>
    </w:p>
    <w:p w14:paraId="48877DB1" w14:textId="39C0AAED" w:rsidR="00772DAD" w:rsidRPr="008526D7" w:rsidRDefault="00772DAD" w:rsidP="00303772">
      <w:pPr>
        <w:pStyle w:val="ListParagraph"/>
        <w:numPr>
          <w:ilvl w:val="0"/>
          <w:numId w:val="3"/>
        </w:numPr>
        <w:rPr>
          <w:sz w:val="24"/>
          <w:szCs w:val="24"/>
        </w:rPr>
      </w:pPr>
      <w:r w:rsidRPr="008526D7">
        <w:rPr>
          <w:sz w:val="24"/>
          <w:szCs w:val="24"/>
        </w:rPr>
        <w:t>Begin providing reimbursement to kinship providers as soon as provisional approval is granted.</w:t>
      </w:r>
    </w:p>
    <w:p w14:paraId="4D54CD3F" w14:textId="0AC07139" w:rsidR="009F4AE3" w:rsidRPr="008526D7" w:rsidRDefault="009F4AE3" w:rsidP="00303772">
      <w:pPr>
        <w:pStyle w:val="ListParagraph"/>
        <w:numPr>
          <w:ilvl w:val="0"/>
          <w:numId w:val="3"/>
        </w:numPr>
        <w:rPr>
          <w:sz w:val="24"/>
          <w:szCs w:val="24"/>
        </w:rPr>
      </w:pPr>
      <w:r w:rsidRPr="008526D7">
        <w:rPr>
          <w:sz w:val="24"/>
          <w:szCs w:val="24"/>
        </w:rPr>
        <w:t>Develop specific written communications to pre-adoptive and post-adoptive parents about how to access post-adoptive supports</w:t>
      </w:r>
      <w:r w:rsidR="00345CEF" w:rsidRPr="008526D7">
        <w:rPr>
          <w:sz w:val="24"/>
          <w:szCs w:val="24"/>
        </w:rPr>
        <w:t>.</w:t>
      </w:r>
    </w:p>
    <w:p w14:paraId="48D751E7" w14:textId="77777777" w:rsidR="00651533" w:rsidRPr="008526D7" w:rsidRDefault="00651533" w:rsidP="00651533">
      <w:pPr>
        <w:pStyle w:val="ListParagraph"/>
        <w:rPr>
          <w:sz w:val="24"/>
          <w:szCs w:val="24"/>
        </w:rPr>
      </w:pPr>
    </w:p>
    <w:p w14:paraId="2F6A1BE4" w14:textId="268B4B5F" w:rsidR="00772DAD" w:rsidRPr="008526D7" w:rsidRDefault="00772DAD" w:rsidP="00651533">
      <w:pPr>
        <w:pStyle w:val="ListParagraph"/>
        <w:numPr>
          <w:ilvl w:val="0"/>
          <w:numId w:val="9"/>
        </w:numPr>
        <w:rPr>
          <w:b/>
          <w:sz w:val="24"/>
          <w:szCs w:val="24"/>
        </w:rPr>
      </w:pPr>
      <w:r w:rsidRPr="008526D7">
        <w:rPr>
          <w:b/>
          <w:sz w:val="24"/>
          <w:szCs w:val="24"/>
        </w:rPr>
        <w:t xml:space="preserve"> Create a County-Central Office Task Force to Address Administrative Flexibility</w:t>
      </w:r>
    </w:p>
    <w:p w14:paraId="705E4780" w14:textId="0486F2E1" w:rsidR="00772DAD" w:rsidRPr="008526D7" w:rsidRDefault="00772DAD" w:rsidP="00772DAD">
      <w:pPr>
        <w:rPr>
          <w:sz w:val="24"/>
          <w:szCs w:val="24"/>
        </w:rPr>
      </w:pPr>
      <w:r w:rsidRPr="008526D7">
        <w:rPr>
          <w:sz w:val="24"/>
          <w:szCs w:val="24"/>
        </w:rPr>
        <w:t xml:space="preserve">A number of stakeholders and local DCFS staff mentioned the large number of local administrative actions that require approval at the executive level of DCFS.  In the current practice environment of high caseloads, staff turnover, staff inexperience </w:t>
      </w:r>
      <w:r w:rsidR="00651533" w:rsidRPr="008526D7">
        <w:rPr>
          <w:sz w:val="24"/>
          <w:szCs w:val="24"/>
        </w:rPr>
        <w:t>a</w:t>
      </w:r>
      <w:r w:rsidRPr="008526D7">
        <w:rPr>
          <w:sz w:val="24"/>
          <w:szCs w:val="24"/>
        </w:rPr>
        <w:t xml:space="preserve">nd the high level of scrutiny which DCFS experiences, the caution of Central Office staff in providing greater autonomy of decision-making at the local level is understandable.  </w:t>
      </w:r>
      <w:r w:rsidR="008C05F2" w:rsidRPr="008526D7">
        <w:rPr>
          <w:sz w:val="24"/>
          <w:szCs w:val="24"/>
        </w:rPr>
        <w:t xml:space="preserve">However, at some point this oversight becomes experienced as a lack of trust and </w:t>
      </w:r>
      <w:r w:rsidR="009C3FB2" w:rsidRPr="008526D7">
        <w:rPr>
          <w:sz w:val="24"/>
          <w:szCs w:val="24"/>
        </w:rPr>
        <w:t xml:space="preserve">a </w:t>
      </w:r>
      <w:r w:rsidR="008C05F2" w:rsidRPr="008526D7">
        <w:rPr>
          <w:sz w:val="24"/>
          <w:szCs w:val="24"/>
        </w:rPr>
        <w:t>barrier to timely decision-making</w:t>
      </w:r>
      <w:r w:rsidR="003539BB" w:rsidRPr="008526D7">
        <w:rPr>
          <w:sz w:val="24"/>
          <w:szCs w:val="24"/>
        </w:rPr>
        <w:t>, making it</w:t>
      </w:r>
      <w:r w:rsidR="008C05F2" w:rsidRPr="008526D7">
        <w:rPr>
          <w:sz w:val="24"/>
          <w:szCs w:val="24"/>
        </w:rPr>
        <w:t xml:space="preserve"> counter-productive.  In an effort to </w:t>
      </w:r>
      <w:r w:rsidR="00651533" w:rsidRPr="008526D7">
        <w:rPr>
          <w:sz w:val="24"/>
          <w:szCs w:val="24"/>
        </w:rPr>
        <w:t>improve state</w:t>
      </w:r>
      <w:r w:rsidR="008C05F2" w:rsidRPr="008526D7">
        <w:rPr>
          <w:sz w:val="24"/>
          <w:szCs w:val="24"/>
        </w:rPr>
        <w:t xml:space="preserve">-county relationships and to increase timely actions, DCFS should appoint a work group consisting of a supervisor and Family Service Worker from each of the 10 Areas to solicit efficiency recommendations from the field and make recommendations directed at </w:t>
      </w:r>
      <w:r w:rsidR="00651533" w:rsidRPr="008526D7">
        <w:rPr>
          <w:sz w:val="24"/>
          <w:szCs w:val="24"/>
        </w:rPr>
        <w:t xml:space="preserve">safely </w:t>
      </w:r>
      <w:r w:rsidR="008C05F2" w:rsidRPr="008526D7">
        <w:rPr>
          <w:sz w:val="24"/>
          <w:szCs w:val="24"/>
        </w:rPr>
        <w:t>enhancing local flexibility</w:t>
      </w:r>
      <w:r w:rsidR="00651533" w:rsidRPr="008526D7">
        <w:rPr>
          <w:sz w:val="24"/>
          <w:szCs w:val="24"/>
        </w:rPr>
        <w:t>.</w:t>
      </w:r>
      <w:r w:rsidR="008C05F2" w:rsidRPr="008526D7">
        <w:rPr>
          <w:sz w:val="24"/>
          <w:szCs w:val="24"/>
        </w:rPr>
        <w:t xml:space="preserve">  This charge relates to </w:t>
      </w:r>
      <w:r w:rsidR="00715522" w:rsidRPr="008526D7">
        <w:rPr>
          <w:sz w:val="24"/>
          <w:szCs w:val="24"/>
        </w:rPr>
        <w:t>local actions</w:t>
      </w:r>
      <w:r w:rsidR="008C05F2" w:rsidRPr="008526D7">
        <w:rPr>
          <w:sz w:val="24"/>
          <w:szCs w:val="24"/>
        </w:rPr>
        <w:t xml:space="preserve"> and decisions</w:t>
      </w:r>
      <w:r w:rsidR="00715522" w:rsidRPr="008526D7">
        <w:rPr>
          <w:sz w:val="24"/>
          <w:szCs w:val="24"/>
        </w:rPr>
        <w:t xml:space="preserve"> requiring central office approval as well as local performance measures and tracking, some of which may not be essential</w:t>
      </w:r>
      <w:r w:rsidR="00B153F3" w:rsidRPr="008526D7">
        <w:rPr>
          <w:sz w:val="24"/>
          <w:szCs w:val="24"/>
        </w:rPr>
        <w:t xml:space="preserve">.  </w:t>
      </w:r>
      <w:r w:rsidR="008C05F2" w:rsidRPr="008526D7">
        <w:rPr>
          <w:sz w:val="24"/>
          <w:szCs w:val="24"/>
        </w:rPr>
        <w:t xml:space="preserve"> </w:t>
      </w:r>
      <w:r w:rsidR="004565AE" w:rsidRPr="008526D7">
        <w:rPr>
          <w:sz w:val="24"/>
          <w:szCs w:val="24"/>
        </w:rPr>
        <w:t>Strategically, members should start with identifying opportunities to</w:t>
      </w:r>
      <w:r w:rsidR="00F21092" w:rsidRPr="008526D7">
        <w:rPr>
          <w:sz w:val="24"/>
          <w:szCs w:val="24"/>
        </w:rPr>
        <w:t xml:space="preserve"> use flexibility to address the placement crisis.  </w:t>
      </w:r>
      <w:r w:rsidR="008C05F2" w:rsidRPr="008526D7">
        <w:rPr>
          <w:sz w:val="24"/>
          <w:szCs w:val="24"/>
        </w:rPr>
        <w:t>A county representative should be selected by the group as chair</w:t>
      </w:r>
      <w:r w:rsidR="00651533" w:rsidRPr="008526D7">
        <w:rPr>
          <w:sz w:val="24"/>
          <w:szCs w:val="24"/>
        </w:rPr>
        <w:t>person</w:t>
      </w:r>
      <w:r w:rsidR="008C05F2" w:rsidRPr="008526D7">
        <w:rPr>
          <w:sz w:val="24"/>
          <w:szCs w:val="24"/>
        </w:rPr>
        <w:t>.</w:t>
      </w:r>
    </w:p>
    <w:p w14:paraId="5DF8D350" w14:textId="52D18033" w:rsidR="003E69FB" w:rsidRPr="008526D7" w:rsidRDefault="003E69FB" w:rsidP="00651533">
      <w:pPr>
        <w:pStyle w:val="ListParagraph"/>
        <w:numPr>
          <w:ilvl w:val="0"/>
          <w:numId w:val="9"/>
        </w:numPr>
        <w:rPr>
          <w:b/>
          <w:sz w:val="24"/>
          <w:szCs w:val="24"/>
        </w:rPr>
      </w:pPr>
      <w:r w:rsidRPr="008526D7">
        <w:rPr>
          <w:b/>
          <w:sz w:val="24"/>
          <w:szCs w:val="24"/>
        </w:rPr>
        <w:t>Improve the DCFS – AOC Working Relationship</w:t>
      </w:r>
    </w:p>
    <w:p w14:paraId="0C7A7057" w14:textId="4BDF2CC8" w:rsidR="002B6D14" w:rsidRPr="008526D7" w:rsidRDefault="003E69FB" w:rsidP="00772DAD">
      <w:pPr>
        <w:rPr>
          <w:sz w:val="24"/>
          <w:szCs w:val="24"/>
        </w:rPr>
      </w:pPr>
      <w:r w:rsidRPr="008526D7">
        <w:rPr>
          <w:sz w:val="24"/>
          <w:szCs w:val="24"/>
        </w:rPr>
        <w:t xml:space="preserve">As mentioned previously, a constructive relationship between DCFS and the Administrative Office of Courts is important to improving the lives of Arkansas children.  </w:t>
      </w:r>
      <w:r w:rsidR="002B6D14" w:rsidRPr="008526D7">
        <w:rPr>
          <w:sz w:val="24"/>
          <w:szCs w:val="24"/>
        </w:rPr>
        <w:t xml:space="preserve">The agencies share common goals for children and families and this should be a foundation for improving working relationships.  The two organizations need to mutually </w:t>
      </w:r>
      <w:r w:rsidR="00B153F3" w:rsidRPr="008526D7">
        <w:rPr>
          <w:sz w:val="24"/>
          <w:szCs w:val="24"/>
        </w:rPr>
        <w:t>acknowledge</w:t>
      </w:r>
      <w:r w:rsidR="002B6D14" w:rsidRPr="008526D7">
        <w:rPr>
          <w:sz w:val="24"/>
          <w:szCs w:val="24"/>
        </w:rPr>
        <w:t xml:space="preserve"> two critical facts.  On the part of DCFS, the agency should recognize the fact that the court system and attorneys/advocates for children have a right to expect effective action from DCFS in support of child safety, permanency a</w:t>
      </w:r>
      <w:r w:rsidR="00651533" w:rsidRPr="008526D7">
        <w:rPr>
          <w:sz w:val="24"/>
          <w:szCs w:val="24"/>
        </w:rPr>
        <w:t>nd well-being.  AOC</w:t>
      </w:r>
      <w:r w:rsidR="002B6D14" w:rsidRPr="008526D7">
        <w:rPr>
          <w:sz w:val="24"/>
          <w:szCs w:val="24"/>
        </w:rPr>
        <w:t xml:space="preserve"> should communicate its recognition that high caseloads and limited resources are preventing DCFS from effectively accomplishing this mission.  The ongoing work of the two organizations should be to, within existing resource constraints, jointly develop strategies</w:t>
      </w:r>
      <w:r w:rsidR="00F946D0" w:rsidRPr="008526D7">
        <w:rPr>
          <w:sz w:val="24"/>
          <w:szCs w:val="24"/>
        </w:rPr>
        <w:t xml:space="preserve"> to improve outcomes for families and children.</w:t>
      </w:r>
    </w:p>
    <w:p w14:paraId="46428377" w14:textId="7D703CBD" w:rsidR="0009130C" w:rsidRPr="008526D7" w:rsidRDefault="00F946D0" w:rsidP="00D717F7">
      <w:pPr>
        <w:pStyle w:val="ListParagraph"/>
        <w:numPr>
          <w:ilvl w:val="0"/>
          <w:numId w:val="7"/>
        </w:numPr>
        <w:rPr>
          <w:sz w:val="24"/>
          <w:szCs w:val="24"/>
        </w:rPr>
      </w:pPr>
      <w:r w:rsidRPr="008526D7">
        <w:rPr>
          <w:sz w:val="24"/>
          <w:szCs w:val="24"/>
        </w:rPr>
        <w:t>As an initial step, both agencies should reach agreement on a basic set of indicators that accurately reflect the overall performance of each agency.  Child welfare outcomes are not totally dependent on DCFS performance</w:t>
      </w:r>
      <w:r w:rsidR="0009130C" w:rsidRPr="008526D7">
        <w:rPr>
          <w:sz w:val="24"/>
          <w:szCs w:val="24"/>
        </w:rPr>
        <w:t xml:space="preserve">.  Judicial actions, for example, are also crucial.  </w:t>
      </w:r>
      <w:r w:rsidRPr="008526D7">
        <w:rPr>
          <w:sz w:val="24"/>
          <w:szCs w:val="24"/>
        </w:rPr>
        <w:t>For DCFS, the indicators are likely to be some of those measures identified in this report.  However, DCFS has many other management indicators that might be useful.  AOC reports that</w:t>
      </w:r>
      <w:r w:rsidR="00651533" w:rsidRPr="008526D7">
        <w:rPr>
          <w:sz w:val="24"/>
          <w:szCs w:val="24"/>
        </w:rPr>
        <w:t xml:space="preserve"> it has some data about court</w:t>
      </w:r>
      <w:r w:rsidRPr="008526D7">
        <w:rPr>
          <w:sz w:val="24"/>
          <w:szCs w:val="24"/>
        </w:rPr>
        <w:t xml:space="preserve"> trends.  Data collected relative to parent attorneys and attorneys ad litem are unknown.  Relevant AOC areas that might be tracked include</w:t>
      </w:r>
      <w:r w:rsidR="00F001DC" w:rsidRPr="008526D7">
        <w:rPr>
          <w:sz w:val="24"/>
          <w:szCs w:val="24"/>
        </w:rPr>
        <w:t xml:space="preserve"> but aren’t limited to the following</w:t>
      </w:r>
      <w:r w:rsidRPr="008526D7">
        <w:rPr>
          <w:sz w:val="24"/>
          <w:szCs w:val="24"/>
        </w:rPr>
        <w:t>:</w:t>
      </w:r>
    </w:p>
    <w:p w14:paraId="00BA5489" w14:textId="0749B941" w:rsidR="0009130C" w:rsidRPr="008526D7" w:rsidRDefault="0009130C" w:rsidP="00F001DC">
      <w:pPr>
        <w:pStyle w:val="NoSpacing"/>
        <w:ind w:left="720"/>
        <w:rPr>
          <w:sz w:val="24"/>
          <w:szCs w:val="24"/>
          <w:u w:val="single"/>
        </w:rPr>
      </w:pPr>
      <w:r w:rsidRPr="008526D7">
        <w:rPr>
          <w:sz w:val="24"/>
          <w:szCs w:val="24"/>
          <w:u w:val="single"/>
        </w:rPr>
        <w:t>By Circuit:</w:t>
      </w:r>
    </w:p>
    <w:p w14:paraId="5119515D" w14:textId="75ED2C96" w:rsidR="00F946D0" w:rsidRPr="008526D7" w:rsidRDefault="0009130C" w:rsidP="00F001DC">
      <w:pPr>
        <w:pStyle w:val="NoSpacing"/>
        <w:ind w:left="720"/>
        <w:rPr>
          <w:sz w:val="24"/>
          <w:szCs w:val="24"/>
        </w:rPr>
      </w:pPr>
      <w:r w:rsidRPr="008526D7">
        <w:rPr>
          <w:sz w:val="24"/>
          <w:szCs w:val="24"/>
        </w:rPr>
        <w:t>Time to permanency</w:t>
      </w:r>
    </w:p>
    <w:p w14:paraId="57D13E3D" w14:textId="3B1E9D4C" w:rsidR="00F946D0" w:rsidRPr="008526D7" w:rsidRDefault="00F946D0" w:rsidP="00F001DC">
      <w:pPr>
        <w:pStyle w:val="NoSpacing"/>
        <w:ind w:left="720"/>
        <w:rPr>
          <w:sz w:val="24"/>
          <w:szCs w:val="24"/>
        </w:rPr>
      </w:pPr>
      <w:r w:rsidRPr="008526D7">
        <w:rPr>
          <w:sz w:val="24"/>
          <w:szCs w:val="24"/>
        </w:rPr>
        <w:t>Number of relative placements</w:t>
      </w:r>
    </w:p>
    <w:p w14:paraId="20853538" w14:textId="1EE4B00C" w:rsidR="00F946D0" w:rsidRPr="008526D7" w:rsidRDefault="0009130C" w:rsidP="00F001DC">
      <w:pPr>
        <w:pStyle w:val="NoSpacing"/>
        <w:ind w:left="720"/>
        <w:rPr>
          <w:sz w:val="24"/>
          <w:szCs w:val="24"/>
        </w:rPr>
      </w:pPr>
      <w:r w:rsidRPr="008526D7">
        <w:rPr>
          <w:sz w:val="24"/>
          <w:szCs w:val="24"/>
        </w:rPr>
        <w:t>Number of guardianships</w:t>
      </w:r>
    </w:p>
    <w:p w14:paraId="0C142464" w14:textId="7BC4CD3E" w:rsidR="00F001DC" w:rsidRPr="008526D7" w:rsidRDefault="00F001DC" w:rsidP="00F001DC">
      <w:pPr>
        <w:pStyle w:val="NoSpacing"/>
        <w:ind w:left="720"/>
        <w:rPr>
          <w:sz w:val="24"/>
          <w:szCs w:val="24"/>
        </w:rPr>
      </w:pPr>
      <w:r w:rsidRPr="008526D7">
        <w:rPr>
          <w:sz w:val="24"/>
          <w:szCs w:val="24"/>
        </w:rPr>
        <w:t>Finalized adoptions</w:t>
      </w:r>
    </w:p>
    <w:p w14:paraId="26D45BC2" w14:textId="27E15F5C" w:rsidR="0009130C" w:rsidRPr="008526D7" w:rsidRDefault="00F001DC" w:rsidP="00F001DC">
      <w:pPr>
        <w:pStyle w:val="NoSpacing"/>
        <w:ind w:left="720"/>
        <w:rPr>
          <w:sz w:val="24"/>
          <w:szCs w:val="24"/>
        </w:rPr>
      </w:pPr>
      <w:r w:rsidRPr="008526D7">
        <w:rPr>
          <w:sz w:val="24"/>
          <w:szCs w:val="24"/>
        </w:rPr>
        <w:t>Attorney ad litem contacts with children between hearings</w:t>
      </w:r>
    </w:p>
    <w:p w14:paraId="23FD5AEC" w14:textId="77777777" w:rsidR="003539BB" w:rsidRPr="008526D7" w:rsidRDefault="003539BB" w:rsidP="00F001DC">
      <w:pPr>
        <w:pStyle w:val="NoSpacing"/>
        <w:ind w:left="720"/>
        <w:rPr>
          <w:sz w:val="24"/>
          <w:szCs w:val="24"/>
        </w:rPr>
      </w:pPr>
    </w:p>
    <w:p w14:paraId="4995CBE7" w14:textId="32B2932D" w:rsidR="003539BB" w:rsidRPr="008526D7" w:rsidRDefault="003539BB" w:rsidP="00F001DC">
      <w:pPr>
        <w:pStyle w:val="NoSpacing"/>
        <w:ind w:left="720"/>
        <w:rPr>
          <w:sz w:val="24"/>
          <w:szCs w:val="24"/>
        </w:rPr>
      </w:pPr>
      <w:r w:rsidRPr="008526D7">
        <w:rPr>
          <w:sz w:val="24"/>
          <w:szCs w:val="24"/>
        </w:rPr>
        <w:t>Data for DCFS and AOC indicators should be shared broadly among stakeholders.</w:t>
      </w:r>
    </w:p>
    <w:p w14:paraId="28434E0E" w14:textId="77777777" w:rsidR="00F001DC" w:rsidRPr="008526D7" w:rsidRDefault="00F001DC" w:rsidP="00F946D0">
      <w:pPr>
        <w:pStyle w:val="NoSpacing"/>
        <w:rPr>
          <w:sz w:val="24"/>
          <w:szCs w:val="24"/>
        </w:rPr>
      </w:pPr>
    </w:p>
    <w:p w14:paraId="3916434E" w14:textId="7AB34862" w:rsidR="00F001DC" w:rsidRPr="008526D7" w:rsidRDefault="00F001DC" w:rsidP="00F001DC">
      <w:pPr>
        <w:pStyle w:val="NoSpacing"/>
        <w:numPr>
          <w:ilvl w:val="0"/>
          <w:numId w:val="7"/>
        </w:numPr>
        <w:rPr>
          <w:sz w:val="24"/>
          <w:szCs w:val="24"/>
        </w:rPr>
      </w:pPr>
      <w:r w:rsidRPr="008526D7">
        <w:rPr>
          <w:sz w:val="24"/>
          <w:szCs w:val="24"/>
        </w:rPr>
        <w:t xml:space="preserve">The Supreme Court and the legislature should consider moving the parent attorney </w:t>
      </w:r>
      <w:r w:rsidR="0043460D" w:rsidRPr="008526D7">
        <w:rPr>
          <w:sz w:val="24"/>
          <w:szCs w:val="24"/>
        </w:rPr>
        <w:t>func</w:t>
      </w:r>
      <w:r w:rsidR="00345CEF" w:rsidRPr="008526D7">
        <w:rPr>
          <w:sz w:val="24"/>
          <w:szCs w:val="24"/>
        </w:rPr>
        <w:t>tion</w:t>
      </w:r>
      <w:r w:rsidRPr="008526D7">
        <w:rPr>
          <w:sz w:val="24"/>
          <w:szCs w:val="24"/>
        </w:rPr>
        <w:t xml:space="preserve"> to an independent setting.  Having parent attorneys in particular under the judicial system, while it may not directly affect DCFS, does raise the questions about the independence of this crucial attorney-client relationship in form if not in substance.</w:t>
      </w:r>
    </w:p>
    <w:p w14:paraId="1603B91E" w14:textId="77777777" w:rsidR="00F001DC" w:rsidRPr="008526D7" w:rsidRDefault="00F001DC" w:rsidP="00F946D0">
      <w:pPr>
        <w:pStyle w:val="NoSpacing"/>
        <w:rPr>
          <w:sz w:val="24"/>
          <w:szCs w:val="24"/>
        </w:rPr>
      </w:pPr>
    </w:p>
    <w:p w14:paraId="362B566D" w14:textId="77777777" w:rsidR="000406C0" w:rsidRPr="008526D7" w:rsidRDefault="00F001DC" w:rsidP="000406C0">
      <w:pPr>
        <w:pStyle w:val="NoSpacing"/>
        <w:numPr>
          <w:ilvl w:val="0"/>
          <w:numId w:val="7"/>
        </w:numPr>
        <w:rPr>
          <w:b/>
          <w:sz w:val="24"/>
          <w:szCs w:val="24"/>
        </w:rPr>
      </w:pPr>
      <w:r w:rsidRPr="008526D7">
        <w:rPr>
          <w:sz w:val="24"/>
          <w:szCs w:val="24"/>
        </w:rPr>
        <w:t>To demonstrate the efforts of DCFS and AOC to improve their working relationship, the organizations should invite a small number of interested/affected stakeholders to their policy and performance discussion</w:t>
      </w:r>
      <w:r w:rsidR="00717147" w:rsidRPr="008526D7">
        <w:rPr>
          <w:sz w:val="24"/>
          <w:szCs w:val="24"/>
        </w:rPr>
        <w:t xml:space="preserve">s for both information sharing and input.  </w:t>
      </w:r>
    </w:p>
    <w:p w14:paraId="7BA2A968" w14:textId="77777777" w:rsidR="0026233A" w:rsidRPr="008526D7" w:rsidRDefault="0026233A" w:rsidP="0026233A">
      <w:pPr>
        <w:pStyle w:val="ListParagraph"/>
        <w:rPr>
          <w:b/>
          <w:sz w:val="24"/>
          <w:szCs w:val="24"/>
        </w:rPr>
      </w:pPr>
    </w:p>
    <w:p w14:paraId="6E8F9514" w14:textId="7308896A" w:rsidR="007E7F5F" w:rsidRPr="008526D7" w:rsidRDefault="007E7F5F" w:rsidP="000406C0">
      <w:pPr>
        <w:pStyle w:val="NoSpacing"/>
        <w:numPr>
          <w:ilvl w:val="0"/>
          <w:numId w:val="9"/>
        </w:numPr>
        <w:rPr>
          <w:b/>
          <w:sz w:val="24"/>
          <w:szCs w:val="24"/>
        </w:rPr>
      </w:pPr>
      <w:r w:rsidRPr="008526D7">
        <w:rPr>
          <w:b/>
          <w:sz w:val="24"/>
          <w:szCs w:val="24"/>
        </w:rPr>
        <w:t xml:space="preserve">   </w:t>
      </w:r>
      <w:r w:rsidR="00682C6D">
        <w:rPr>
          <w:b/>
          <w:sz w:val="24"/>
          <w:szCs w:val="24"/>
        </w:rPr>
        <w:t>Expedite the Process</w:t>
      </w:r>
      <w:bookmarkStart w:id="0" w:name="_GoBack"/>
      <w:bookmarkEnd w:id="0"/>
      <w:r w:rsidR="00D32A48" w:rsidRPr="008526D7">
        <w:rPr>
          <w:b/>
          <w:sz w:val="24"/>
          <w:szCs w:val="24"/>
        </w:rPr>
        <w:t xml:space="preserve"> for Filling DCFS Vacancies</w:t>
      </w:r>
    </w:p>
    <w:p w14:paraId="483547FB" w14:textId="77777777" w:rsidR="007E7F5F" w:rsidRPr="008526D7" w:rsidRDefault="007E7F5F" w:rsidP="007E7F5F">
      <w:pPr>
        <w:pStyle w:val="ListParagraph"/>
        <w:ind w:left="0"/>
        <w:rPr>
          <w:b/>
          <w:sz w:val="24"/>
          <w:szCs w:val="24"/>
        </w:rPr>
      </w:pPr>
    </w:p>
    <w:p w14:paraId="1A1219BE" w14:textId="03E6C0F6" w:rsidR="00651533" w:rsidRPr="008526D7" w:rsidRDefault="00D32A48" w:rsidP="0026233A">
      <w:pPr>
        <w:pStyle w:val="ListParagraph"/>
        <w:spacing w:line="240" w:lineRule="auto"/>
        <w:ind w:left="0"/>
        <w:rPr>
          <w:sz w:val="24"/>
          <w:szCs w:val="24"/>
        </w:rPr>
      </w:pPr>
      <w:r w:rsidRPr="008526D7">
        <w:rPr>
          <w:sz w:val="24"/>
          <w:szCs w:val="24"/>
        </w:rPr>
        <w:t>The turnover of DCFS front-line staff heightens the workloads of staff, which increases with each day a position is left vacant.  A process should be created to expedite the filling of DCFS vacancies and address other processes that delay hiring new staff.</w:t>
      </w:r>
    </w:p>
    <w:p w14:paraId="020EF9A7" w14:textId="77777777" w:rsidR="00D32A48" w:rsidRPr="008526D7" w:rsidRDefault="00D32A48" w:rsidP="007E7F5F">
      <w:pPr>
        <w:pStyle w:val="ListParagraph"/>
        <w:ind w:left="0"/>
        <w:rPr>
          <w:sz w:val="24"/>
          <w:szCs w:val="24"/>
        </w:rPr>
      </w:pPr>
    </w:p>
    <w:p w14:paraId="1CE93C7B" w14:textId="3081FDBF" w:rsidR="008C05F2" w:rsidRPr="008526D7" w:rsidRDefault="009F4AE3" w:rsidP="00651533">
      <w:pPr>
        <w:pStyle w:val="ListParagraph"/>
        <w:numPr>
          <w:ilvl w:val="0"/>
          <w:numId w:val="9"/>
        </w:numPr>
        <w:rPr>
          <w:b/>
          <w:sz w:val="24"/>
          <w:szCs w:val="24"/>
        </w:rPr>
      </w:pPr>
      <w:r w:rsidRPr="008526D7">
        <w:rPr>
          <w:b/>
          <w:sz w:val="24"/>
          <w:szCs w:val="24"/>
        </w:rPr>
        <w:t xml:space="preserve"> </w:t>
      </w:r>
      <w:r w:rsidR="003E69FB" w:rsidRPr="008526D7">
        <w:rPr>
          <w:b/>
          <w:sz w:val="24"/>
          <w:szCs w:val="24"/>
        </w:rPr>
        <w:t xml:space="preserve">  </w:t>
      </w:r>
      <w:r w:rsidRPr="008526D7">
        <w:rPr>
          <w:b/>
          <w:sz w:val="24"/>
          <w:szCs w:val="24"/>
        </w:rPr>
        <w:t>Develop and Implement a</w:t>
      </w:r>
      <w:r w:rsidR="008C05F2" w:rsidRPr="008526D7">
        <w:rPr>
          <w:b/>
          <w:sz w:val="24"/>
          <w:szCs w:val="24"/>
        </w:rPr>
        <w:t xml:space="preserve"> </w:t>
      </w:r>
      <w:r w:rsidRPr="008526D7">
        <w:rPr>
          <w:b/>
          <w:sz w:val="24"/>
          <w:szCs w:val="24"/>
        </w:rPr>
        <w:t xml:space="preserve">Principle-Based </w:t>
      </w:r>
      <w:r w:rsidR="008C05F2" w:rsidRPr="008526D7">
        <w:rPr>
          <w:b/>
          <w:sz w:val="24"/>
          <w:szCs w:val="24"/>
        </w:rPr>
        <w:t>Operational DCFS Model of Practice</w:t>
      </w:r>
    </w:p>
    <w:p w14:paraId="5C3F4423" w14:textId="39A77BEF" w:rsidR="009F4AE3" w:rsidRPr="008526D7" w:rsidRDefault="009F4AE3" w:rsidP="00772DAD">
      <w:pPr>
        <w:rPr>
          <w:sz w:val="24"/>
          <w:szCs w:val="24"/>
        </w:rPr>
      </w:pPr>
      <w:r w:rsidRPr="008526D7">
        <w:rPr>
          <w:sz w:val="24"/>
          <w:szCs w:val="24"/>
        </w:rPr>
        <w:t>DCFS should expand its Practice Model to include a core set of specific principles of practice that provide guidance to the field about how children and families should experience the child w</w:t>
      </w:r>
      <w:r w:rsidR="000406C0" w:rsidRPr="008526D7">
        <w:rPr>
          <w:sz w:val="24"/>
          <w:szCs w:val="24"/>
        </w:rPr>
        <w:t>elfare system.  The m</w:t>
      </w:r>
      <w:r w:rsidRPr="008526D7">
        <w:rPr>
          <w:sz w:val="24"/>
          <w:szCs w:val="24"/>
        </w:rPr>
        <w:t>odel should guide system policies, training content, staff performance standards, service contract expectations, accountability measures and quality assurance/quali</w:t>
      </w:r>
      <w:r w:rsidR="003539BB" w:rsidRPr="008526D7">
        <w:rPr>
          <w:sz w:val="24"/>
          <w:szCs w:val="24"/>
        </w:rPr>
        <w:t xml:space="preserve">ty improvement methods.  </w:t>
      </w:r>
      <w:r w:rsidR="004565AE" w:rsidRPr="008526D7">
        <w:rPr>
          <w:sz w:val="24"/>
          <w:szCs w:val="24"/>
        </w:rPr>
        <w:t xml:space="preserve">The practice model should speak specifically to the importance of family and strengths of kin resources.  </w:t>
      </w:r>
      <w:r w:rsidR="003539BB" w:rsidRPr="008526D7">
        <w:rPr>
          <w:sz w:val="24"/>
          <w:szCs w:val="24"/>
        </w:rPr>
        <w:t>Existing</w:t>
      </w:r>
      <w:r w:rsidRPr="008526D7">
        <w:rPr>
          <w:sz w:val="24"/>
          <w:szCs w:val="24"/>
        </w:rPr>
        <w:t xml:space="preserve"> policies and procedures should be tested against the principles and where incongruent, should be revised.  A set of best practice principles used by improving systems</w:t>
      </w:r>
      <w:r w:rsidR="003539BB" w:rsidRPr="008526D7">
        <w:rPr>
          <w:sz w:val="24"/>
          <w:szCs w:val="24"/>
        </w:rPr>
        <w:t xml:space="preserve"> nationally is attached in the A</w:t>
      </w:r>
      <w:r w:rsidRPr="008526D7">
        <w:rPr>
          <w:sz w:val="24"/>
          <w:szCs w:val="24"/>
        </w:rPr>
        <w:t>ppendix</w:t>
      </w:r>
      <w:r w:rsidR="0019323C" w:rsidRPr="008526D7">
        <w:rPr>
          <w:sz w:val="24"/>
          <w:szCs w:val="24"/>
        </w:rPr>
        <w:t>.  I</w:t>
      </w:r>
      <w:r w:rsidRPr="008526D7">
        <w:rPr>
          <w:sz w:val="24"/>
          <w:szCs w:val="24"/>
        </w:rPr>
        <w:t>n developing a revised practice model, DCFS sh</w:t>
      </w:r>
      <w:r w:rsidR="00B362CB">
        <w:rPr>
          <w:sz w:val="24"/>
          <w:szCs w:val="24"/>
        </w:rPr>
        <w:t>ould involve key stakeholders in</w:t>
      </w:r>
      <w:r w:rsidRPr="008526D7">
        <w:rPr>
          <w:sz w:val="24"/>
          <w:szCs w:val="24"/>
        </w:rPr>
        <w:t xml:space="preserve"> shaping the design.</w:t>
      </w:r>
    </w:p>
    <w:p w14:paraId="45547F54" w14:textId="4B465900" w:rsidR="009F4AE3" w:rsidRPr="008526D7" w:rsidRDefault="009F4AE3" w:rsidP="00651533">
      <w:pPr>
        <w:pStyle w:val="ListParagraph"/>
        <w:numPr>
          <w:ilvl w:val="0"/>
          <w:numId w:val="9"/>
        </w:numPr>
        <w:rPr>
          <w:b/>
          <w:sz w:val="24"/>
          <w:szCs w:val="24"/>
        </w:rPr>
      </w:pPr>
      <w:r w:rsidRPr="008526D7">
        <w:rPr>
          <w:b/>
          <w:sz w:val="24"/>
          <w:szCs w:val="24"/>
        </w:rPr>
        <w:t xml:space="preserve">  </w:t>
      </w:r>
      <w:r w:rsidR="00737C12" w:rsidRPr="008526D7">
        <w:rPr>
          <w:b/>
          <w:sz w:val="24"/>
          <w:szCs w:val="24"/>
        </w:rPr>
        <w:t>Strength</w:t>
      </w:r>
      <w:r w:rsidR="00D41362" w:rsidRPr="008526D7">
        <w:rPr>
          <w:b/>
          <w:sz w:val="24"/>
          <w:szCs w:val="24"/>
        </w:rPr>
        <w:t>en DCFS Practice in Assessing Safety Assessment and Engagement Skills</w:t>
      </w:r>
    </w:p>
    <w:p w14:paraId="3FF5ECCC" w14:textId="19915D31" w:rsidR="00D41362" w:rsidRPr="008526D7" w:rsidRDefault="00D41362" w:rsidP="00772DAD">
      <w:pPr>
        <w:rPr>
          <w:sz w:val="24"/>
          <w:szCs w:val="24"/>
        </w:rPr>
      </w:pPr>
      <w:r w:rsidRPr="008526D7">
        <w:rPr>
          <w:sz w:val="24"/>
          <w:szCs w:val="24"/>
        </w:rPr>
        <w:t>DCFS data and some stakeholder input suggest that DCFS needs to further strengthen its family assessment capacity.  DCFS has added new assessment and planning tools, such as Structured Decision-Ma</w:t>
      </w:r>
      <w:r w:rsidR="000406C0" w:rsidRPr="008526D7">
        <w:rPr>
          <w:sz w:val="24"/>
          <w:szCs w:val="24"/>
        </w:rPr>
        <w:t>king, the CANs process and FAST</w:t>
      </w:r>
      <w:r w:rsidRPr="008526D7">
        <w:rPr>
          <w:sz w:val="24"/>
          <w:szCs w:val="24"/>
        </w:rPr>
        <w:t xml:space="preserve"> and also is making efforts to improve the Protection Planning Process</w:t>
      </w:r>
      <w:r w:rsidR="00E17521" w:rsidRPr="008526D7">
        <w:rPr>
          <w:sz w:val="24"/>
          <w:szCs w:val="24"/>
        </w:rPr>
        <w:t xml:space="preserve">.  These tools are useful in promoting the consistent consideration of safety factors and guiding case decision-making.  They are also beneficial when employed with inexperienced staff.  Factors that tools such as these cannot provide is critical thinking and insight into underlying </w:t>
      </w:r>
      <w:r w:rsidR="003539BB" w:rsidRPr="008526D7">
        <w:rPr>
          <w:sz w:val="24"/>
          <w:szCs w:val="24"/>
        </w:rPr>
        <w:t xml:space="preserve">child, </w:t>
      </w:r>
      <w:r w:rsidR="00E17521" w:rsidRPr="008526D7">
        <w:rPr>
          <w:sz w:val="24"/>
          <w:szCs w:val="24"/>
        </w:rPr>
        <w:t xml:space="preserve">youth and family needs (meaning the causes of behavior).  </w:t>
      </w:r>
    </w:p>
    <w:p w14:paraId="588A35A9" w14:textId="4D08933B" w:rsidR="00D41362" w:rsidRDefault="006A36B4" w:rsidP="001E4510">
      <w:pPr>
        <w:pStyle w:val="ListParagraph"/>
        <w:numPr>
          <w:ilvl w:val="0"/>
          <w:numId w:val="6"/>
        </w:numPr>
        <w:rPr>
          <w:sz w:val="24"/>
          <w:szCs w:val="24"/>
        </w:rPr>
      </w:pPr>
      <w:r w:rsidRPr="008526D7">
        <w:rPr>
          <w:sz w:val="24"/>
          <w:szCs w:val="24"/>
        </w:rPr>
        <w:t>DCFS should provide additional training to staff on Protection Planning, with a focus on the issues that are causing the poor caregiving activities which brought them to the Division’s attention.  If a parent’s inattention to the needs of her child are caused by depression resulting from lifetime trauma experiences</w:t>
      </w:r>
      <w:r w:rsidR="003539BB" w:rsidRPr="008526D7">
        <w:rPr>
          <w:sz w:val="24"/>
          <w:szCs w:val="24"/>
        </w:rPr>
        <w:t xml:space="preserve">, for example, </w:t>
      </w:r>
      <w:r w:rsidRPr="008526D7">
        <w:rPr>
          <w:sz w:val="24"/>
          <w:szCs w:val="24"/>
        </w:rPr>
        <w:t>offering parenting training is not likely to enhance child safety.  Since concerns about the quality of Protection Plan</w:t>
      </w:r>
      <w:r w:rsidR="000406C0" w:rsidRPr="008526D7">
        <w:rPr>
          <w:sz w:val="24"/>
          <w:szCs w:val="24"/>
        </w:rPr>
        <w:t>s are frequently anecdotal, DCFS</w:t>
      </w:r>
      <w:r w:rsidRPr="008526D7">
        <w:rPr>
          <w:sz w:val="24"/>
          <w:szCs w:val="24"/>
        </w:rPr>
        <w:t xml:space="preserve"> should also track outcomes for families with protection plans to actually determine their effectiveness in keeping children safe.</w:t>
      </w:r>
    </w:p>
    <w:p w14:paraId="0DBD13AA" w14:textId="77777777" w:rsidR="001F5BE9" w:rsidRPr="008526D7" w:rsidRDefault="001F5BE9" w:rsidP="001F5BE9">
      <w:pPr>
        <w:pStyle w:val="ListParagraph"/>
        <w:rPr>
          <w:sz w:val="24"/>
          <w:szCs w:val="24"/>
        </w:rPr>
      </w:pPr>
    </w:p>
    <w:p w14:paraId="53229F31" w14:textId="43677EDC" w:rsidR="001E4510" w:rsidRPr="008526D7" w:rsidRDefault="001E4510" w:rsidP="001E4510">
      <w:pPr>
        <w:pStyle w:val="ListParagraph"/>
        <w:numPr>
          <w:ilvl w:val="0"/>
          <w:numId w:val="6"/>
        </w:numPr>
        <w:rPr>
          <w:sz w:val="24"/>
          <w:szCs w:val="24"/>
        </w:rPr>
      </w:pPr>
      <w:r w:rsidRPr="008526D7">
        <w:rPr>
          <w:sz w:val="24"/>
          <w:szCs w:val="24"/>
        </w:rPr>
        <w:t>DCFS should also provide additional training in family engagement skills</w:t>
      </w:r>
      <w:r w:rsidR="00F21092" w:rsidRPr="008526D7">
        <w:rPr>
          <w:sz w:val="24"/>
          <w:szCs w:val="24"/>
        </w:rPr>
        <w:t xml:space="preserve">.  </w:t>
      </w:r>
      <w:r w:rsidRPr="008526D7">
        <w:rPr>
          <w:sz w:val="24"/>
          <w:szCs w:val="24"/>
        </w:rPr>
        <w:t>Training should be skills-based and permit engagement skills to be modeled by trainers and practiced by staff in the classroom settings.  Training should be followed by coaching, using skilled practitioners.  Training should be initially targeted on those counties with the greatest v</w:t>
      </w:r>
      <w:r w:rsidR="000406C0" w:rsidRPr="008526D7">
        <w:rPr>
          <w:sz w:val="24"/>
          <w:szCs w:val="24"/>
        </w:rPr>
        <w:t>olume of children entering care</w:t>
      </w:r>
      <w:r w:rsidR="00F21092" w:rsidRPr="008526D7">
        <w:rPr>
          <w:sz w:val="24"/>
          <w:szCs w:val="24"/>
        </w:rPr>
        <w:t xml:space="preserve"> and remaining in care.</w:t>
      </w:r>
    </w:p>
    <w:p w14:paraId="7DCC2FC0" w14:textId="77777777" w:rsidR="00651533" w:rsidRPr="008526D7" w:rsidRDefault="00651533" w:rsidP="00651533">
      <w:pPr>
        <w:pStyle w:val="ListParagraph"/>
        <w:rPr>
          <w:sz w:val="24"/>
          <w:szCs w:val="24"/>
        </w:rPr>
      </w:pPr>
    </w:p>
    <w:p w14:paraId="030D8842" w14:textId="729C5EC0" w:rsidR="009F4AE3" w:rsidRPr="008526D7" w:rsidRDefault="001E4510" w:rsidP="00651533">
      <w:pPr>
        <w:pStyle w:val="ListParagraph"/>
        <w:numPr>
          <w:ilvl w:val="0"/>
          <w:numId w:val="9"/>
        </w:numPr>
        <w:rPr>
          <w:b/>
          <w:sz w:val="24"/>
          <w:szCs w:val="24"/>
        </w:rPr>
      </w:pPr>
      <w:r w:rsidRPr="008526D7">
        <w:rPr>
          <w:b/>
          <w:sz w:val="24"/>
          <w:szCs w:val="24"/>
        </w:rPr>
        <w:t xml:space="preserve">  Expand the Availability of Intensive Home and Community-</w:t>
      </w:r>
      <w:r w:rsidR="003E69FB" w:rsidRPr="008526D7">
        <w:rPr>
          <w:b/>
          <w:sz w:val="24"/>
          <w:szCs w:val="24"/>
        </w:rPr>
        <w:t>B</w:t>
      </w:r>
      <w:r w:rsidRPr="008526D7">
        <w:rPr>
          <w:b/>
          <w:sz w:val="24"/>
          <w:szCs w:val="24"/>
        </w:rPr>
        <w:t>ased</w:t>
      </w:r>
      <w:r w:rsidR="003E69FB" w:rsidRPr="008526D7">
        <w:rPr>
          <w:b/>
          <w:sz w:val="24"/>
          <w:szCs w:val="24"/>
        </w:rPr>
        <w:t xml:space="preserve"> Mental Health Services</w:t>
      </w:r>
    </w:p>
    <w:p w14:paraId="1CB55F71" w14:textId="5546F6E2" w:rsidR="00066826" w:rsidRPr="008526D7" w:rsidRDefault="006C4745" w:rsidP="00772DAD">
      <w:pPr>
        <w:rPr>
          <w:sz w:val="24"/>
          <w:szCs w:val="24"/>
        </w:rPr>
      </w:pPr>
      <w:r w:rsidRPr="008526D7">
        <w:rPr>
          <w:sz w:val="24"/>
          <w:szCs w:val="24"/>
        </w:rPr>
        <w:t>According to key stakeholders, much of the mental health service delivery in Arkansas is office</w:t>
      </w:r>
      <w:r w:rsidR="00140EB8" w:rsidRPr="008526D7">
        <w:rPr>
          <w:sz w:val="24"/>
          <w:szCs w:val="24"/>
        </w:rPr>
        <w:t>-</w:t>
      </w:r>
      <w:r w:rsidRPr="008526D7">
        <w:rPr>
          <w:sz w:val="24"/>
          <w:szCs w:val="24"/>
        </w:rPr>
        <w:t>based rather than home</w:t>
      </w:r>
      <w:r w:rsidR="00140EB8" w:rsidRPr="008526D7">
        <w:rPr>
          <w:sz w:val="24"/>
          <w:szCs w:val="24"/>
        </w:rPr>
        <w:t xml:space="preserve"> and community</w:t>
      </w:r>
      <w:r w:rsidRPr="008526D7">
        <w:rPr>
          <w:sz w:val="24"/>
          <w:szCs w:val="24"/>
        </w:rPr>
        <w:t xml:space="preserve">-based, </w:t>
      </w:r>
      <w:r w:rsidR="00140EB8" w:rsidRPr="008526D7">
        <w:rPr>
          <w:sz w:val="24"/>
          <w:szCs w:val="24"/>
        </w:rPr>
        <w:t xml:space="preserve">is </w:t>
      </w:r>
      <w:r w:rsidRPr="008526D7">
        <w:rPr>
          <w:sz w:val="24"/>
          <w:szCs w:val="24"/>
        </w:rPr>
        <w:t>insufficiently evidence-</w:t>
      </w:r>
      <w:r w:rsidR="00140EB8" w:rsidRPr="008526D7">
        <w:rPr>
          <w:sz w:val="24"/>
          <w:szCs w:val="24"/>
        </w:rPr>
        <w:t>based</w:t>
      </w:r>
      <w:r w:rsidRPr="008526D7">
        <w:rPr>
          <w:sz w:val="24"/>
          <w:szCs w:val="24"/>
        </w:rPr>
        <w:t xml:space="preserve"> and trauma-responsive and </w:t>
      </w:r>
      <w:r w:rsidR="00140EB8" w:rsidRPr="008526D7">
        <w:rPr>
          <w:sz w:val="24"/>
          <w:szCs w:val="24"/>
        </w:rPr>
        <w:t>lacks the intensity required for children with high mental health needs.  Foster parent retention</w:t>
      </w:r>
      <w:r w:rsidR="000406C0" w:rsidRPr="008526D7">
        <w:rPr>
          <w:sz w:val="24"/>
          <w:szCs w:val="24"/>
        </w:rPr>
        <w:t xml:space="preserve">, </w:t>
      </w:r>
      <w:r w:rsidR="00140EB8" w:rsidRPr="008526D7">
        <w:rPr>
          <w:sz w:val="24"/>
          <w:szCs w:val="24"/>
        </w:rPr>
        <w:t>child stability</w:t>
      </w:r>
      <w:r w:rsidR="000406C0" w:rsidRPr="008526D7">
        <w:rPr>
          <w:sz w:val="24"/>
          <w:szCs w:val="24"/>
        </w:rPr>
        <w:t xml:space="preserve"> and post-adoptive success</w:t>
      </w:r>
      <w:r w:rsidR="00140EB8" w:rsidRPr="008526D7">
        <w:rPr>
          <w:sz w:val="24"/>
          <w:szCs w:val="24"/>
        </w:rPr>
        <w:t xml:space="preserve"> are also negatively affected by the limited capacity of mental health agencies.  </w:t>
      </w:r>
      <w:r w:rsidRPr="008526D7">
        <w:rPr>
          <w:sz w:val="24"/>
          <w:szCs w:val="24"/>
        </w:rPr>
        <w:t xml:space="preserve">Many systems nationally are transitioning their traditional </w:t>
      </w:r>
      <w:r w:rsidR="00140EB8" w:rsidRPr="008526D7">
        <w:rPr>
          <w:sz w:val="24"/>
          <w:szCs w:val="24"/>
        </w:rPr>
        <w:t xml:space="preserve">mental health </w:t>
      </w:r>
      <w:r w:rsidRPr="008526D7">
        <w:rPr>
          <w:sz w:val="24"/>
          <w:szCs w:val="24"/>
        </w:rPr>
        <w:t>service delivery to an intensive home and community-based mo</w:t>
      </w:r>
      <w:r w:rsidR="00066826" w:rsidRPr="008526D7">
        <w:rPr>
          <w:sz w:val="24"/>
          <w:szCs w:val="24"/>
        </w:rPr>
        <w:t>d</w:t>
      </w:r>
      <w:r w:rsidRPr="008526D7">
        <w:rPr>
          <w:sz w:val="24"/>
          <w:szCs w:val="24"/>
        </w:rPr>
        <w:t>el</w:t>
      </w:r>
      <w:r w:rsidR="00140EB8" w:rsidRPr="008526D7">
        <w:rPr>
          <w:sz w:val="24"/>
          <w:szCs w:val="24"/>
        </w:rPr>
        <w:t>.  It is recommended that the leadership of DCFS, the Divis</w:t>
      </w:r>
      <w:r w:rsidR="007E7F5F" w:rsidRPr="008526D7">
        <w:rPr>
          <w:sz w:val="24"/>
          <w:szCs w:val="24"/>
        </w:rPr>
        <w:t>ion o</w:t>
      </w:r>
      <w:r w:rsidR="00140EB8" w:rsidRPr="008526D7">
        <w:rPr>
          <w:sz w:val="24"/>
          <w:szCs w:val="24"/>
        </w:rPr>
        <w:t>f Behavioral Health and the Division of Medical Services visit two systems implementing innovative approaches to delivery of home and community mental health services, one in Arizona an</w:t>
      </w:r>
      <w:r w:rsidR="007E7F5F" w:rsidRPr="008526D7">
        <w:rPr>
          <w:sz w:val="24"/>
          <w:szCs w:val="24"/>
        </w:rPr>
        <w:t xml:space="preserve">d one in Los Angeles, to identify opportunities to implement similar approaches in Arkansas.  </w:t>
      </w:r>
      <w:r w:rsidR="00883EFE" w:rsidRPr="008526D7">
        <w:rPr>
          <w:sz w:val="24"/>
          <w:szCs w:val="24"/>
        </w:rPr>
        <w:t>The first priority should be to return those children placed out</w:t>
      </w:r>
      <w:r w:rsidR="0026233A" w:rsidRPr="008526D7">
        <w:rPr>
          <w:sz w:val="24"/>
          <w:szCs w:val="24"/>
        </w:rPr>
        <w:t>-</w:t>
      </w:r>
      <w:r w:rsidR="00883EFE" w:rsidRPr="008526D7">
        <w:rPr>
          <w:sz w:val="24"/>
          <w:szCs w:val="24"/>
        </w:rPr>
        <w:t xml:space="preserve"> of</w:t>
      </w:r>
      <w:r w:rsidR="0026233A" w:rsidRPr="008526D7">
        <w:rPr>
          <w:sz w:val="24"/>
          <w:szCs w:val="24"/>
        </w:rPr>
        <w:t>-</w:t>
      </w:r>
      <w:r w:rsidR="00883EFE" w:rsidRPr="008526D7">
        <w:rPr>
          <w:sz w:val="24"/>
          <w:szCs w:val="24"/>
        </w:rPr>
        <w:t xml:space="preserve">state to Arkansas.  </w:t>
      </w:r>
    </w:p>
    <w:p w14:paraId="07E3680B" w14:textId="7E3F34A3" w:rsidR="007E7F5F" w:rsidRPr="008526D7" w:rsidRDefault="007E7F5F" w:rsidP="00772DAD">
      <w:pPr>
        <w:rPr>
          <w:sz w:val="24"/>
          <w:szCs w:val="24"/>
        </w:rPr>
      </w:pPr>
      <w:r w:rsidRPr="008526D7">
        <w:rPr>
          <w:sz w:val="24"/>
          <w:szCs w:val="24"/>
        </w:rPr>
        <w:t>Implementation of a new mental health system of care will require additional resources as matching for Medicaid funding.</w:t>
      </w:r>
    </w:p>
    <w:p w14:paraId="5069EB0E" w14:textId="68210D89" w:rsidR="007E7F5F" w:rsidRPr="008526D7" w:rsidRDefault="007E7F5F" w:rsidP="00651533">
      <w:pPr>
        <w:pStyle w:val="ListParagraph"/>
        <w:numPr>
          <w:ilvl w:val="0"/>
          <w:numId w:val="9"/>
        </w:numPr>
        <w:rPr>
          <w:b/>
          <w:sz w:val="24"/>
          <w:szCs w:val="24"/>
        </w:rPr>
      </w:pPr>
      <w:r w:rsidRPr="008526D7">
        <w:rPr>
          <w:b/>
          <w:sz w:val="24"/>
          <w:szCs w:val="24"/>
        </w:rPr>
        <w:t xml:space="preserve">  Develop a Three-Year Plan to Reduce DCFS Caseloads to an Average of 20</w:t>
      </w:r>
    </w:p>
    <w:p w14:paraId="36B18675" w14:textId="5A817DEF" w:rsidR="007E7F5F" w:rsidRPr="008526D7" w:rsidRDefault="007E7F5F" w:rsidP="00772DAD">
      <w:pPr>
        <w:rPr>
          <w:sz w:val="24"/>
          <w:szCs w:val="24"/>
        </w:rPr>
      </w:pPr>
      <w:r w:rsidRPr="008526D7">
        <w:rPr>
          <w:sz w:val="24"/>
          <w:szCs w:val="24"/>
        </w:rPr>
        <w:t>DCFS should provide the state legislat</w:t>
      </w:r>
      <w:r w:rsidR="0026233A" w:rsidRPr="008526D7">
        <w:rPr>
          <w:sz w:val="24"/>
          <w:szCs w:val="24"/>
        </w:rPr>
        <w:t>ure a three-year plan for reducing</w:t>
      </w:r>
      <w:r w:rsidRPr="008526D7">
        <w:rPr>
          <w:sz w:val="24"/>
          <w:szCs w:val="24"/>
        </w:rPr>
        <w:t xml:space="preserve"> caseloads from the current average of 29 to </w:t>
      </w:r>
      <w:r w:rsidR="000406C0" w:rsidRPr="008526D7">
        <w:rPr>
          <w:sz w:val="24"/>
          <w:szCs w:val="24"/>
        </w:rPr>
        <w:t xml:space="preserve">an average of </w:t>
      </w:r>
      <w:r w:rsidRPr="008526D7">
        <w:rPr>
          <w:sz w:val="24"/>
          <w:szCs w:val="24"/>
        </w:rPr>
        <w:t xml:space="preserve">20 by adding staff appropriations in each of the </w:t>
      </w:r>
      <w:r w:rsidR="003539BB" w:rsidRPr="008526D7">
        <w:rPr>
          <w:sz w:val="24"/>
          <w:szCs w:val="24"/>
        </w:rPr>
        <w:t xml:space="preserve">next </w:t>
      </w:r>
      <w:r w:rsidRPr="008526D7">
        <w:rPr>
          <w:sz w:val="24"/>
          <w:szCs w:val="24"/>
        </w:rPr>
        <w:t xml:space="preserve">three </w:t>
      </w:r>
      <w:r w:rsidR="003539BB" w:rsidRPr="008526D7">
        <w:rPr>
          <w:sz w:val="24"/>
          <w:szCs w:val="24"/>
        </w:rPr>
        <w:t xml:space="preserve">budget </w:t>
      </w:r>
      <w:r w:rsidRPr="008526D7">
        <w:rPr>
          <w:sz w:val="24"/>
          <w:szCs w:val="24"/>
        </w:rPr>
        <w:t xml:space="preserve">years. </w:t>
      </w:r>
      <w:r w:rsidR="003344D8" w:rsidRPr="008526D7">
        <w:rPr>
          <w:sz w:val="24"/>
          <w:szCs w:val="24"/>
        </w:rPr>
        <w:t xml:space="preserve">  </w:t>
      </w:r>
      <w:r w:rsidRPr="008526D7">
        <w:rPr>
          <w:sz w:val="24"/>
          <w:szCs w:val="24"/>
        </w:rPr>
        <w:t xml:space="preserve"> </w:t>
      </w:r>
      <w:r w:rsidR="003344D8" w:rsidRPr="008526D7">
        <w:rPr>
          <w:sz w:val="24"/>
          <w:szCs w:val="24"/>
        </w:rPr>
        <w:t>As part of that budgeting process, D</w:t>
      </w:r>
      <w:r w:rsidR="003539BB" w:rsidRPr="008526D7">
        <w:rPr>
          <w:sz w:val="24"/>
          <w:szCs w:val="24"/>
        </w:rPr>
        <w:t>HS</w:t>
      </w:r>
      <w:r w:rsidR="003344D8" w:rsidRPr="008526D7">
        <w:rPr>
          <w:sz w:val="24"/>
          <w:szCs w:val="24"/>
        </w:rPr>
        <w:t xml:space="preserve"> should include the cost of equalizing the salaries of DHS attorneys to a level comparable with the salaries of attorneys ad litem and parent attorneys.  The agency must have the ability to retain experienced attorneys to represent the Department in court.</w:t>
      </w:r>
    </w:p>
    <w:p w14:paraId="3F18849E" w14:textId="1C636C5D" w:rsidR="00136927" w:rsidRDefault="00136927" w:rsidP="00772DAD">
      <w:pPr>
        <w:rPr>
          <w:sz w:val="24"/>
          <w:szCs w:val="24"/>
        </w:rPr>
      </w:pPr>
      <w:r w:rsidRPr="008526D7">
        <w:rPr>
          <w:sz w:val="24"/>
          <w:szCs w:val="24"/>
        </w:rPr>
        <w:t xml:space="preserve">It is also recommended that DCFS provide a </w:t>
      </w:r>
      <w:r w:rsidR="00713DFE" w:rsidRPr="008526D7">
        <w:rPr>
          <w:sz w:val="24"/>
          <w:szCs w:val="24"/>
        </w:rPr>
        <w:t xml:space="preserve">fiscal and workload note to the legislature for any bill that is introduced affecting </w:t>
      </w:r>
      <w:r w:rsidR="003539BB" w:rsidRPr="008526D7">
        <w:rPr>
          <w:sz w:val="24"/>
          <w:szCs w:val="24"/>
        </w:rPr>
        <w:t xml:space="preserve">workloads in </w:t>
      </w:r>
      <w:r w:rsidR="00713DFE" w:rsidRPr="008526D7">
        <w:rPr>
          <w:sz w:val="24"/>
          <w:szCs w:val="24"/>
        </w:rPr>
        <w:t xml:space="preserve">the child welfare system.  If such a document is not provided, the legislature should request it. </w:t>
      </w:r>
    </w:p>
    <w:p w14:paraId="29A8216C" w14:textId="77777777" w:rsidR="001F5BE9" w:rsidRPr="008526D7" w:rsidRDefault="001F5BE9" w:rsidP="00772DAD">
      <w:pPr>
        <w:rPr>
          <w:sz w:val="24"/>
          <w:szCs w:val="24"/>
        </w:rPr>
      </w:pPr>
    </w:p>
    <w:p w14:paraId="1F491DB8" w14:textId="77777777" w:rsidR="0026233A" w:rsidRPr="008526D7" w:rsidRDefault="0026233A" w:rsidP="00772DAD">
      <w:pPr>
        <w:rPr>
          <w:sz w:val="24"/>
          <w:szCs w:val="24"/>
        </w:rPr>
      </w:pPr>
    </w:p>
    <w:p w14:paraId="3D73F1DC" w14:textId="6F11E9BB" w:rsidR="00D32A48" w:rsidRPr="008526D7" w:rsidRDefault="00D32A48" w:rsidP="00D32A48">
      <w:pPr>
        <w:pStyle w:val="ListParagraph"/>
        <w:numPr>
          <w:ilvl w:val="0"/>
          <w:numId w:val="9"/>
        </w:numPr>
        <w:rPr>
          <w:b/>
          <w:sz w:val="24"/>
          <w:szCs w:val="24"/>
        </w:rPr>
      </w:pPr>
      <w:r w:rsidRPr="008526D7">
        <w:rPr>
          <w:b/>
          <w:sz w:val="24"/>
          <w:szCs w:val="24"/>
        </w:rPr>
        <w:t xml:space="preserve">  Determine Responsibility for Implementing Recommendations</w:t>
      </w:r>
    </w:p>
    <w:p w14:paraId="1D409C4D" w14:textId="1E0118B6" w:rsidR="00D32A48" w:rsidRPr="008526D7" w:rsidRDefault="00D32A48" w:rsidP="00D32A48">
      <w:pPr>
        <w:rPr>
          <w:sz w:val="24"/>
          <w:szCs w:val="24"/>
        </w:rPr>
      </w:pPr>
      <w:r w:rsidRPr="008526D7">
        <w:rPr>
          <w:sz w:val="24"/>
          <w:szCs w:val="24"/>
        </w:rPr>
        <w:t>Development of an implementation plan for these recommendations will clarify in detail assignment</w:t>
      </w:r>
      <w:r w:rsidR="00C1665D" w:rsidRPr="008526D7">
        <w:rPr>
          <w:sz w:val="24"/>
          <w:szCs w:val="24"/>
        </w:rPr>
        <w:t xml:space="preserve"> of responsibilities.  However, to initiate the implementation process, the following general assignment of tasks is suggested.</w:t>
      </w:r>
    </w:p>
    <w:p w14:paraId="2C7C01FB" w14:textId="31C24BE4" w:rsidR="00C1665D" w:rsidRPr="008526D7" w:rsidRDefault="00C1665D" w:rsidP="00D32A48">
      <w:pPr>
        <w:rPr>
          <w:b/>
          <w:i/>
          <w:sz w:val="24"/>
          <w:szCs w:val="24"/>
        </w:rPr>
      </w:pPr>
      <w:r w:rsidRPr="008526D7">
        <w:rPr>
          <w:b/>
          <w:i/>
          <w:sz w:val="24"/>
          <w:szCs w:val="24"/>
        </w:rPr>
        <w:t>Governor’s Office</w:t>
      </w:r>
    </w:p>
    <w:p w14:paraId="4890EA75" w14:textId="7E27564A" w:rsidR="003A7B2D" w:rsidRPr="008526D7" w:rsidRDefault="003A7B2D" w:rsidP="006B5803">
      <w:pPr>
        <w:pStyle w:val="ListParagraph"/>
        <w:numPr>
          <w:ilvl w:val="0"/>
          <w:numId w:val="14"/>
        </w:numPr>
        <w:rPr>
          <w:sz w:val="24"/>
          <w:szCs w:val="24"/>
        </w:rPr>
      </w:pPr>
      <w:r w:rsidRPr="008526D7">
        <w:rPr>
          <w:sz w:val="24"/>
          <w:szCs w:val="24"/>
        </w:rPr>
        <w:t xml:space="preserve">Appoint a </w:t>
      </w:r>
      <w:r w:rsidR="00331AD6" w:rsidRPr="008526D7">
        <w:rPr>
          <w:sz w:val="24"/>
          <w:szCs w:val="24"/>
        </w:rPr>
        <w:t>staff member</w:t>
      </w:r>
      <w:r w:rsidRPr="008526D7">
        <w:rPr>
          <w:sz w:val="24"/>
          <w:szCs w:val="24"/>
        </w:rPr>
        <w:t xml:space="preserve"> to </w:t>
      </w:r>
      <w:r w:rsidR="001D21F5" w:rsidRPr="008526D7">
        <w:rPr>
          <w:sz w:val="24"/>
          <w:szCs w:val="24"/>
        </w:rPr>
        <w:t xml:space="preserve">coordinate </w:t>
      </w:r>
      <w:r w:rsidR="00331AD6" w:rsidRPr="008526D7">
        <w:rPr>
          <w:sz w:val="24"/>
          <w:szCs w:val="24"/>
        </w:rPr>
        <w:t xml:space="preserve">interagency </w:t>
      </w:r>
      <w:r w:rsidR="001D21F5" w:rsidRPr="008526D7">
        <w:rPr>
          <w:sz w:val="24"/>
          <w:szCs w:val="24"/>
        </w:rPr>
        <w:t xml:space="preserve">planning and system </w:t>
      </w:r>
      <w:r w:rsidR="00331AD6" w:rsidRPr="008526D7">
        <w:rPr>
          <w:sz w:val="24"/>
          <w:szCs w:val="24"/>
        </w:rPr>
        <w:t>collaboration</w:t>
      </w:r>
      <w:r w:rsidR="001D21F5" w:rsidRPr="008526D7">
        <w:rPr>
          <w:sz w:val="24"/>
          <w:szCs w:val="24"/>
        </w:rPr>
        <w:t xml:space="preserve"> for children, youth and family services</w:t>
      </w:r>
    </w:p>
    <w:p w14:paraId="05E62925" w14:textId="69C53692" w:rsidR="00C1665D" w:rsidRPr="008526D7" w:rsidRDefault="00C1665D" w:rsidP="006B5803">
      <w:pPr>
        <w:pStyle w:val="ListParagraph"/>
        <w:numPr>
          <w:ilvl w:val="0"/>
          <w:numId w:val="14"/>
        </w:numPr>
        <w:rPr>
          <w:sz w:val="24"/>
          <w:szCs w:val="24"/>
        </w:rPr>
      </w:pPr>
      <w:r w:rsidRPr="008526D7">
        <w:rPr>
          <w:sz w:val="24"/>
          <w:szCs w:val="24"/>
        </w:rPr>
        <w:t>Ensure that administrative steps are taken to expedite the hiring process in DCFS</w:t>
      </w:r>
    </w:p>
    <w:p w14:paraId="6DF2C5B8" w14:textId="12F43E2A" w:rsidR="00D32A48" w:rsidRPr="008526D7" w:rsidRDefault="00C1665D" w:rsidP="00D32A48">
      <w:pPr>
        <w:rPr>
          <w:b/>
          <w:i/>
          <w:sz w:val="24"/>
          <w:szCs w:val="24"/>
        </w:rPr>
      </w:pPr>
      <w:r w:rsidRPr="008526D7">
        <w:rPr>
          <w:b/>
          <w:i/>
          <w:sz w:val="24"/>
          <w:szCs w:val="24"/>
        </w:rPr>
        <w:t>Legislature</w:t>
      </w:r>
    </w:p>
    <w:p w14:paraId="4DCB7FD7" w14:textId="34C91397" w:rsidR="00C1665D" w:rsidRPr="008526D7" w:rsidRDefault="006B5803" w:rsidP="006B5803">
      <w:pPr>
        <w:pStyle w:val="ListParagraph"/>
        <w:numPr>
          <w:ilvl w:val="0"/>
          <w:numId w:val="15"/>
        </w:numPr>
        <w:rPr>
          <w:sz w:val="24"/>
          <w:szCs w:val="24"/>
        </w:rPr>
      </w:pPr>
      <w:r w:rsidRPr="008526D7">
        <w:rPr>
          <w:sz w:val="24"/>
          <w:szCs w:val="24"/>
        </w:rPr>
        <w:t>Reque</w:t>
      </w:r>
      <w:r w:rsidR="00D35CEA" w:rsidRPr="008526D7">
        <w:rPr>
          <w:sz w:val="24"/>
          <w:szCs w:val="24"/>
        </w:rPr>
        <w:t>st that DCFS provide estimates of costs for</w:t>
      </w:r>
      <w:r w:rsidRPr="008526D7">
        <w:rPr>
          <w:sz w:val="24"/>
          <w:szCs w:val="24"/>
        </w:rPr>
        <w:t xml:space="preserve"> reducing DCFS caseloads to a 1/20 ratio over a three year period</w:t>
      </w:r>
    </w:p>
    <w:p w14:paraId="00EABB47" w14:textId="7EAE54E1" w:rsidR="006B5803" w:rsidRPr="008526D7" w:rsidRDefault="006B5803" w:rsidP="006B5803">
      <w:pPr>
        <w:pStyle w:val="ListParagraph"/>
        <w:numPr>
          <w:ilvl w:val="0"/>
          <w:numId w:val="15"/>
        </w:numPr>
        <w:rPr>
          <w:sz w:val="24"/>
          <w:szCs w:val="24"/>
        </w:rPr>
      </w:pPr>
      <w:r w:rsidRPr="008526D7">
        <w:rPr>
          <w:sz w:val="24"/>
          <w:szCs w:val="24"/>
        </w:rPr>
        <w:t>Request that DCFS provide a fiscal/workload note for child welfare related bills passed in the most recent session and in all future sessions</w:t>
      </w:r>
    </w:p>
    <w:p w14:paraId="00FB2936" w14:textId="6F9E3925" w:rsidR="006B5803" w:rsidRPr="008526D7" w:rsidRDefault="006B5803" w:rsidP="006B5803">
      <w:pPr>
        <w:pStyle w:val="ListParagraph"/>
        <w:numPr>
          <w:ilvl w:val="0"/>
          <w:numId w:val="15"/>
        </w:numPr>
        <w:rPr>
          <w:sz w:val="24"/>
          <w:szCs w:val="24"/>
        </w:rPr>
      </w:pPr>
      <w:r w:rsidRPr="008526D7">
        <w:rPr>
          <w:sz w:val="24"/>
          <w:szCs w:val="24"/>
        </w:rPr>
        <w:t>Assess possible revenue sources for funding additional DCFS staff</w:t>
      </w:r>
    </w:p>
    <w:p w14:paraId="07C63063" w14:textId="2B721016" w:rsidR="00D32A48" w:rsidRPr="008526D7" w:rsidRDefault="006B5803" w:rsidP="006B5803">
      <w:pPr>
        <w:rPr>
          <w:b/>
          <w:i/>
          <w:sz w:val="24"/>
          <w:szCs w:val="24"/>
        </w:rPr>
      </w:pPr>
      <w:r w:rsidRPr="008526D7">
        <w:rPr>
          <w:b/>
          <w:i/>
          <w:sz w:val="24"/>
          <w:szCs w:val="24"/>
        </w:rPr>
        <w:t>Department of Human Services</w:t>
      </w:r>
    </w:p>
    <w:p w14:paraId="4F011DA9" w14:textId="5683681E" w:rsidR="006B5803" w:rsidRPr="008526D7" w:rsidRDefault="006B5803" w:rsidP="006B5803">
      <w:pPr>
        <w:pStyle w:val="ListParagraph"/>
        <w:numPr>
          <w:ilvl w:val="0"/>
          <w:numId w:val="16"/>
        </w:numPr>
        <w:rPr>
          <w:sz w:val="24"/>
          <w:szCs w:val="24"/>
        </w:rPr>
      </w:pPr>
      <w:r w:rsidRPr="008526D7">
        <w:rPr>
          <w:sz w:val="24"/>
          <w:szCs w:val="24"/>
        </w:rPr>
        <w:t>Direct that senior staff from the Division of Behavioral Health, Division of Medical Services and DCFS contact the suggested model mental health programs and request an opportunity to observe their operations</w:t>
      </w:r>
      <w:r w:rsidR="00D35CEA" w:rsidRPr="008526D7">
        <w:rPr>
          <w:sz w:val="24"/>
          <w:szCs w:val="24"/>
        </w:rPr>
        <w:t>.  The Child Welfare Policy and Practice Group can provide contact information</w:t>
      </w:r>
    </w:p>
    <w:p w14:paraId="11A72EB7" w14:textId="585DF343" w:rsidR="006B5803" w:rsidRPr="008526D7" w:rsidRDefault="006B5803" w:rsidP="006B5803">
      <w:pPr>
        <w:pStyle w:val="ListParagraph"/>
        <w:numPr>
          <w:ilvl w:val="0"/>
          <w:numId w:val="16"/>
        </w:numPr>
        <w:rPr>
          <w:sz w:val="24"/>
          <w:szCs w:val="24"/>
        </w:rPr>
      </w:pPr>
      <w:r w:rsidRPr="008526D7">
        <w:rPr>
          <w:sz w:val="24"/>
          <w:szCs w:val="24"/>
        </w:rPr>
        <w:t>Assess the content of the State’s Medicaid plan to determine if intensive home and community-based services such as those recommended in the plan</w:t>
      </w:r>
      <w:r w:rsidR="00D35CEA" w:rsidRPr="008526D7">
        <w:rPr>
          <w:sz w:val="24"/>
          <w:szCs w:val="24"/>
        </w:rPr>
        <w:t xml:space="preserve"> would be reimbursable.  If plan amendments are needed, propose a revision to the plan and identify possible implementation costs to the legislature</w:t>
      </w:r>
    </w:p>
    <w:p w14:paraId="74502282" w14:textId="77777777" w:rsidR="007E7F5F" w:rsidRPr="008526D7" w:rsidRDefault="007E7F5F" w:rsidP="00772DAD">
      <w:pPr>
        <w:rPr>
          <w:b/>
          <w:sz w:val="24"/>
          <w:szCs w:val="24"/>
        </w:rPr>
      </w:pPr>
    </w:p>
    <w:p w14:paraId="10316240" w14:textId="77777777" w:rsidR="00772DAD" w:rsidRPr="008526D7" w:rsidRDefault="00772DAD" w:rsidP="00772DAD">
      <w:pPr>
        <w:rPr>
          <w:b/>
          <w:sz w:val="24"/>
          <w:szCs w:val="24"/>
        </w:rPr>
      </w:pPr>
    </w:p>
    <w:p w14:paraId="0AD94B32" w14:textId="77777777" w:rsidR="00772DAD" w:rsidRPr="008526D7" w:rsidRDefault="00772DAD" w:rsidP="00772DAD">
      <w:pPr>
        <w:rPr>
          <w:b/>
          <w:sz w:val="24"/>
          <w:szCs w:val="24"/>
        </w:rPr>
      </w:pPr>
    </w:p>
    <w:p w14:paraId="430CE444" w14:textId="6A44CAD4" w:rsidR="00303772" w:rsidRPr="008526D7" w:rsidRDefault="00303772" w:rsidP="00303772">
      <w:pPr>
        <w:rPr>
          <w:b/>
          <w:sz w:val="24"/>
          <w:szCs w:val="24"/>
        </w:rPr>
      </w:pPr>
    </w:p>
    <w:p w14:paraId="51B770C3" w14:textId="77777777" w:rsidR="00303772" w:rsidRPr="008526D7" w:rsidRDefault="00303772" w:rsidP="00F67876">
      <w:pPr>
        <w:rPr>
          <w:sz w:val="24"/>
          <w:szCs w:val="24"/>
        </w:rPr>
      </w:pPr>
    </w:p>
    <w:p w14:paraId="056DC408" w14:textId="77777777" w:rsidR="00303772" w:rsidRPr="008526D7" w:rsidRDefault="00303772" w:rsidP="00F67876">
      <w:pPr>
        <w:rPr>
          <w:sz w:val="24"/>
          <w:szCs w:val="24"/>
        </w:rPr>
      </w:pPr>
    </w:p>
    <w:p w14:paraId="0A80A6B8" w14:textId="77777777" w:rsidR="00F67876" w:rsidRPr="008526D7" w:rsidRDefault="00F67876" w:rsidP="00F67876">
      <w:pPr>
        <w:rPr>
          <w:sz w:val="24"/>
          <w:szCs w:val="24"/>
        </w:rPr>
      </w:pPr>
    </w:p>
    <w:p w14:paraId="07850B0B" w14:textId="77777777" w:rsidR="00F67876" w:rsidRPr="008526D7" w:rsidRDefault="00F67876" w:rsidP="00F67876">
      <w:pPr>
        <w:rPr>
          <w:sz w:val="24"/>
          <w:szCs w:val="24"/>
        </w:rPr>
      </w:pPr>
      <w:r w:rsidRPr="008526D7">
        <w:rPr>
          <w:sz w:val="24"/>
          <w:szCs w:val="24"/>
        </w:rPr>
        <w:tab/>
      </w:r>
    </w:p>
    <w:p w14:paraId="16055E3F" w14:textId="77777777" w:rsidR="00F67876" w:rsidRPr="008526D7" w:rsidRDefault="00F67876" w:rsidP="00F67876">
      <w:pPr>
        <w:rPr>
          <w:sz w:val="24"/>
          <w:szCs w:val="24"/>
        </w:rPr>
      </w:pPr>
      <w:r w:rsidRPr="008526D7">
        <w:rPr>
          <w:sz w:val="24"/>
          <w:szCs w:val="24"/>
        </w:rPr>
        <w:tab/>
      </w:r>
    </w:p>
    <w:p w14:paraId="2844959D" w14:textId="73829F3C" w:rsidR="00651533" w:rsidRPr="008526D7" w:rsidRDefault="00F67876" w:rsidP="0026233A">
      <w:pPr>
        <w:rPr>
          <w:b/>
          <w:sz w:val="36"/>
          <w:szCs w:val="36"/>
        </w:rPr>
      </w:pPr>
      <w:r w:rsidRPr="008526D7">
        <w:rPr>
          <w:sz w:val="24"/>
          <w:szCs w:val="24"/>
        </w:rPr>
        <w:tab/>
      </w:r>
    </w:p>
    <w:p w14:paraId="6A2C80E6" w14:textId="77777777" w:rsidR="00651533" w:rsidRPr="008526D7" w:rsidRDefault="00651533" w:rsidP="00A74EC5">
      <w:pPr>
        <w:jc w:val="center"/>
        <w:rPr>
          <w:b/>
          <w:sz w:val="36"/>
          <w:szCs w:val="36"/>
        </w:rPr>
      </w:pPr>
    </w:p>
    <w:p w14:paraId="0F42B258" w14:textId="77777777" w:rsidR="00651533" w:rsidRPr="008526D7" w:rsidRDefault="00651533" w:rsidP="00A74EC5">
      <w:pPr>
        <w:jc w:val="center"/>
        <w:rPr>
          <w:b/>
          <w:sz w:val="36"/>
          <w:szCs w:val="36"/>
        </w:rPr>
      </w:pPr>
    </w:p>
    <w:p w14:paraId="0CC086C8" w14:textId="77777777" w:rsidR="00651533" w:rsidRPr="008526D7" w:rsidRDefault="00651533" w:rsidP="00A74EC5">
      <w:pPr>
        <w:jc w:val="center"/>
        <w:rPr>
          <w:b/>
          <w:sz w:val="36"/>
          <w:szCs w:val="36"/>
        </w:rPr>
      </w:pPr>
    </w:p>
    <w:p w14:paraId="4279406C" w14:textId="77777777" w:rsidR="00F67876" w:rsidRPr="008526D7" w:rsidRDefault="00F67876" w:rsidP="00A74EC5">
      <w:pPr>
        <w:jc w:val="center"/>
        <w:rPr>
          <w:b/>
          <w:sz w:val="36"/>
          <w:szCs w:val="36"/>
        </w:rPr>
      </w:pPr>
      <w:r w:rsidRPr="008526D7">
        <w:rPr>
          <w:b/>
          <w:sz w:val="36"/>
          <w:szCs w:val="36"/>
        </w:rPr>
        <w:t>Appendix</w:t>
      </w:r>
    </w:p>
    <w:p w14:paraId="2581FA58" w14:textId="77777777" w:rsidR="00737C12" w:rsidRPr="008526D7" w:rsidRDefault="00737C12" w:rsidP="00737C12">
      <w:pPr>
        <w:jc w:val="center"/>
        <w:rPr>
          <w:b/>
          <w:sz w:val="28"/>
          <w:szCs w:val="28"/>
        </w:rPr>
      </w:pPr>
    </w:p>
    <w:p w14:paraId="3FF26C84" w14:textId="77777777" w:rsidR="007C07B9" w:rsidRPr="008526D7" w:rsidRDefault="007C07B9" w:rsidP="00737C12">
      <w:pPr>
        <w:jc w:val="center"/>
        <w:rPr>
          <w:b/>
          <w:sz w:val="28"/>
          <w:szCs w:val="28"/>
        </w:rPr>
      </w:pPr>
    </w:p>
    <w:p w14:paraId="5239DFD0" w14:textId="77777777" w:rsidR="007C07B9" w:rsidRPr="008526D7" w:rsidRDefault="007C07B9" w:rsidP="00737C12">
      <w:pPr>
        <w:jc w:val="center"/>
        <w:rPr>
          <w:b/>
          <w:sz w:val="28"/>
          <w:szCs w:val="28"/>
        </w:rPr>
      </w:pPr>
    </w:p>
    <w:p w14:paraId="114C22EE" w14:textId="77777777" w:rsidR="007C07B9" w:rsidRPr="008526D7" w:rsidRDefault="007C07B9" w:rsidP="00737C12">
      <w:pPr>
        <w:jc w:val="center"/>
        <w:rPr>
          <w:b/>
          <w:sz w:val="28"/>
          <w:szCs w:val="28"/>
        </w:rPr>
      </w:pPr>
    </w:p>
    <w:p w14:paraId="30E4BB4F" w14:textId="77777777" w:rsidR="007C07B9" w:rsidRPr="008526D7" w:rsidRDefault="007C07B9" w:rsidP="00737C12">
      <w:pPr>
        <w:jc w:val="center"/>
        <w:rPr>
          <w:b/>
          <w:sz w:val="28"/>
          <w:szCs w:val="28"/>
        </w:rPr>
      </w:pPr>
    </w:p>
    <w:p w14:paraId="51F29E0A" w14:textId="77777777" w:rsidR="007C07B9" w:rsidRPr="008526D7" w:rsidRDefault="007C07B9" w:rsidP="00737C12">
      <w:pPr>
        <w:jc w:val="center"/>
        <w:rPr>
          <w:b/>
          <w:sz w:val="28"/>
          <w:szCs w:val="28"/>
        </w:rPr>
      </w:pPr>
    </w:p>
    <w:p w14:paraId="63A5C564" w14:textId="77777777" w:rsidR="007C07B9" w:rsidRPr="008526D7" w:rsidRDefault="007C07B9" w:rsidP="00737C12">
      <w:pPr>
        <w:jc w:val="center"/>
        <w:rPr>
          <w:b/>
          <w:sz w:val="28"/>
          <w:szCs w:val="28"/>
        </w:rPr>
      </w:pPr>
    </w:p>
    <w:p w14:paraId="69926C69" w14:textId="77777777" w:rsidR="007C07B9" w:rsidRPr="008526D7" w:rsidRDefault="007C07B9" w:rsidP="00737C12">
      <w:pPr>
        <w:jc w:val="center"/>
        <w:rPr>
          <w:b/>
          <w:sz w:val="28"/>
          <w:szCs w:val="28"/>
        </w:rPr>
      </w:pPr>
    </w:p>
    <w:p w14:paraId="3155E53E" w14:textId="77777777" w:rsidR="007C07B9" w:rsidRPr="008526D7" w:rsidRDefault="007C07B9" w:rsidP="00737C12">
      <w:pPr>
        <w:jc w:val="center"/>
        <w:rPr>
          <w:b/>
          <w:sz w:val="28"/>
          <w:szCs w:val="28"/>
        </w:rPr>
      </w:pPr>
    </w:p>
    <w:p w14:paraId="474840FB" w14:textId="77777777" w:rsidR="007C07B9" w:rsidRPr="008526D7" w:rsidRDefault="007C07B9" w:rsidP="00737C12">
      <w:pPr>
        <w:jc w:val="center"/>
        <w:rPr>
          <w:b/>
          <w:sz w:val="28"/>
          <w:szCs w:val="28"/>
        </w:rPr>
      </w:pPr>
    </w:p>
    <w:p w14:paraId="39F1C5A2" w14:textId="77777777" w:rsidR="007C07B9" w:rsidRPr="008526D7" w:rsidRDefault="007C07B9" w:rsidP="00737C12">
      <w:pPr>
        <w:jc w:val="center"/>
        <w:rPr>
          <w:b/>
          <w:sz w:val="28"/>
          <w:szCs w:val="28"/>
        </w:rPr>
      </w:pPr>
    </w:p>
    <w:p w14:paraId="0B37B9A3" w14:textId="77777777" w:rsidR="007C07B9" w:rsidRPr="008526D7" w:rsidRDefault="007C07B9" w:rsidP="00737C12">
      <w:pPr>
        <w:jc w:val="center"/>
        <w:rPr>
          <w:b/>
          <w:sz w:val="28"/>
          <w:szCs w:val="28"/>
        </w:rPr>
      </w:pPr>
    </w:p>
    <w:p w14:paraId="73D95743" w14:textId="77777777" w:rsidR="007C07B9" w:rsidRPr="008526D7" w:rsidRDefault="007C07B9" w:rsidP="00737C12">
      <w:pPr>
        <w:jc w:val="center"/>
        <w:rPr>
          <w:b/>
          <w:sz w:val="28"/>
          <w:szCs w:val="28"/>
        </w:rPr>
      </w:pPr>
    </w:p>
    <w:p w14:paraId="73F59641" w14:textId="77777777" w:rsidR="007C07B9" w:rsidRDefault="007C07B9" w:rsidP="00737C12">
      <w:pPr>
        <w:jc w:val="center"/>
        <w:rPr>
          <w:b/>
          <w:sz w:val="28"/>
          <w:szCs w:val="28"/>
        </w:rPr>
      </w:pPr>
    </w:p>
    <w:p w14:paraId="2F9231A0" w14:textId="77777777" w:rsidR="007C07B9" w:rsidRDefault="007C07B9" w:rsidP="00737C12">
      <w:pPr>
        <w:jc w:val="center"/>
        <w:rPr>
          <w:b/>
          <w:sz w:val="28"/>
          <w:szCs w:val="28"/>
        </w:rPr>
      </w:pPr>
    </w:p>
    <w:p w14:paraId="066DDBD0" w14:textId="77777777" w:rsidR="00737C12" w:rsidRDefault="00737C12" w:rsidP="00737C12">
      <w:pPr>
        <w:jc w:val="center"/>
        <w:rPr>
          <w:b/>
          <w:sz w:val="28"/>
          <w:szCs w:val="28"/>
        </w:rPr>
      </w:pPr>
    </w:p>
    <w:p w14:paraId="274A2436" w14:textId="77777777" w:rsidR="00D35CEA" w:rsidRDefault="00D35CEA" w:rsidP="00737C12">
      <w:pPr>
        <w:jc w:val="center"/>
        <w:rPr>
          <w:b/>
          <w:sz w:val="28"/>
          <w:szCs w:val="28"/>
        </w:rPr>
      </w:pPr>
    </w:p>
    <w:p w14:paraId="625C0169" w14:textId="77777777" w:rsidR="00D35CEA" w:rsidRDefault="00D35CEA" w:rsidP="00737C12">
      <w:pPr>
        <w:jc w:val="center"/>
        <w:rPr>
          <w:b/>
          <w:sz w:val="28"/>
          <w:szCs w:val="28"/>
        </w:rPr>
      </w:pPr>
    </w:p>
    <w:p w14:paraId="3F9665DF" w14:textId="4FA453D2" w:rsidR="00737C12" w:rsidRPr="00AE400F" w:rsidRDefault="006E25A0" w:rsidP="00737C12">
      <w:pPr>
        <w:jc w:val="center"/>
        <w:rPr>
          <w:b/>
          <w:sz w:val="28"/>
          <w:szCs w:val="28"/>
        </w:rPr>
      </w:pPr>
      <w:r w:rsidRPr="00AE400F">
        <w:rPr>
          <w:b/>
          <w:sz w:val="28"/>
          <w:szCs w:val="28"/>
        </w:rPr>
        <w:t>Interview Respondents</w:t>
      </w:r>
    </w:p>
    <w:p w14:paraId="37DC3415" w14:textId="77777777" w:rsidR="00760659" w:rsidRDefault="00760659" w:rsidP="006E25A0">
      <w:pPr>
        <w:rPr>
          <w:sz w:val="24"/>
          <w:szCs w:val="24"/>
        </w:rPr>
        <w:sectPr w:rsidR="00760659" w:rsidSect="000009B6">
          <w:footerReference w:type="defaul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A5BD26D" w14:textId="593A97BE" w:rsidR="006E25A0" w:rsidRDefault="00AE400F" w:rsidP="006E25A0">
      <w:pPr>
        <w:rPr>
          <w:sz w:val="24"/>
          <w:szCs w:val="24"/>
        </w:rPr>
      </w:pPr>
      <w:r w:rsidRPr="00AE400F">
        <w:rPr>
          <w:sz w:val="24"/>
          <w:szCs w:val="24"/>
        </w:rPr>
        <w:t>DCFS Central Office Staff</w:t>
      </w:r>
    </w:p>
    <w:p w14:paraId="0B36B7A3" w14:textId="667F87E5" w:rsidR="00BD73BB" w:rsidRDefault="00BD73BB" w:rsidP="006E25A0">
      <w:pPr>
        <w:rPr>
          <w:sz w:val="24"/>
          <w:szCs w:val="24"/>
        </w:rPr>
      </w:pPr>
      <w:r>
        <w:rPr>
          <w:sz w:val="24"/>
          <w:szCs w:val="24"/>
        </w:rPr>
        <w:t>DCFS Family Service Workers and Supervisors</w:t>
      </w:r>
    </w:p>
    <w:p w14:paraId="682EDD19" w14:textId="68E4E84A" w:rsidR="00BD73BB" w:rsidRDefault="00BD73BB" w:rsidP="006E25A0">
      <w:pPr>
        <w:rPr>
          <w:sz w:val="24"/>
          <w:szCs w:val="24"/>
        </w:rPr>
      </w:pPr>
      <w:r>
        <w:rPr>
          <w:sz w:val="24"/>
          <w:szCs w:val="24"/>
        </w:rPr>
        <w:t>DCFS Area Directors</w:t>
      </w:r>
    </w:p>
    <w:p w14:paraId="5B20EE1D" w14:textId="195BAFB8" w:rsidR="00BD73BB" w:rsidRDefault="00BD73BB" w:rsidP="006E25A0">
      <w:pPr>
        <w:rPr>
          <w:sz w:val="24"/>
          <w:szCs w:val="24"/>
        </w:rPr>
      </w:pPr>
      <w:r>
        <w:rPr>
          <w:sz w:val="24"/>
          <w:szCs w:val="24"/>
        </w:rPr>
        <w:t>DHS Attorneys</w:t>
      </w:r>
    </w:p>
    <w:p w14:paraId="30B0416A" w14:textId="1100A673" w:rsidR="00BD73BB" w:rsidRDefault="00BD73BB" w:rsidP="006E25A0">
      <w:pPr>
        <w:rPr>
          <w:sz w:val="24"/>
          <w:szCs w:val="24"/>
        </w:rPr>
      </w:pPr>
      <w:r>
        <w:rPr>
          <w:sz w:val="24"/>
          <w:szCs w:val="24"/>
        </w:rPr>
        <w:t>DCFS Adoption Staff</w:t>
      </w:r>
    </w:p>
    <w:p w14:paraId="60FE36CF" w14:textId="41211E08" w:rsidR="00BD73BB" w:rsidRDefault="00BD73BB" w:rsidP="006E25A0">
      <w:pPr>
        <w:rPr>
          <w:sz w:val="24"/>
          <w:szCs w:val="24"/>
        </w:rPr>
      </w:pPr>
      <w:r>
        <w:rPr>
          <w:sz w:val="24"/>
          <w:szCs w:val="24"/>
        </w:rPr>
        <w:t>DCFS Health Service Workers</w:t>
      </w:r>
    </w:p>
    <w:p w14:paraId="47EF446E" w14:textId="7C38464E" w:rsidR="00BD73BB" w:rsidRDefault="00BD73BB" w:rsidP="006E25A0">
      <w:pPr>
        <w:rPr>
          <w:sz w:val="24"/>
          <w:szCs w:val="24"/>
        </w:rPr>
      </w:pPr>
      <w:r>
        <w:rPr>
          <w:sz w:val="24"/>
          <w:szCs w:val="24"/>
        </w:rPr>
        <w:t>DCFS Program Assistants</w:t>
      </w:r>
    </w:p>
    <w:p w14:paraId="2E89EC3A" w14:textId="6D01EFD6" w:rsidR="00BD73BB" w:rsidRDefault="00BD73BB" w:rsidP="006E25A0">
      <w:pPr>
        <w:rPr>
          <w:sz w:val="24"/>
          <w:szCs w:val="24"/>
        </w:rPr>
      </w:pPr>
      <w:r>
        <w:rPr>
          <w:sz w:val="24"/>
          <w:szCs w:val="24"/>
        </w:rPr>
        <w:t>University Training Staff</w:t>
      </w:r>
    </w:p>
    <w:p w14:paraId="3CDFF94B" w14:textId="73548063" w:rsidR="00BD73BB" w:rsidRDefault="00BD73BB" w:rsidP="006E25A0">
      <w:pPr>
        <w:rPr>
          <w:sz w:val="24"/>
          <w:szCs w:val="24"/>
        </w:rPr>
      </w:pPr>
      <w:r>
        <w:rPr>
          <w:sz w:val="24"/>
          <w:szCs w:val="24"/>
        </w:rPr>
        <w:t>CACD Central Office Staff</w:t>
      </w:r>
    </w:p>
    <w:p w14:paraId="7E5AE444" w14:textId="1B27A63B" w:rsidR="00BD73BB" w:rsidRDefault="00BD73BB" w:rsidP="006E25A0">
      <w:pPr>
        <w:rPr>
          <w:sz w:val="24"/>
          <w:szCs w:val="24"/>
        </w:rPr>
      </w:pPr>
      <w:r>
        <w:rPr>
          <w:sz w:val="24"/>
          <w:szCs w:val="24"/>
        </w:rPr>
        <w:t>Supreme Court Justice</w:t>
      </w:r>
    </w:p>
    <w:p w14:paraId="10173CAE" w14:textId="58FF18CE" w:rsidR="00BD73BB" w:rsidRDefault="00BD73BB" w:rsidP="006E25A0">
      <w:pPr>
        <w:rPr>
          <w:sz w:val="24"/>
          <w:szCs w:val="24"/>
        </w:rPr>
      </w:pPr>
      <w:r>
        <w:rPr>
          <w:sz w:val="24"/>
          <w:szCs w:val="24"/>
        </w:rPr>
        <w:t>Juvenile Court Judges</w:t>
      </w:r>
    </w:p>
    <w:p w14:paraId="2C1A7562" w14:textId="01D8E3A6" w:rsidR="00BD73BB" w:rsidRDefault="00BD73BB" w:rsidP="006E25A0">
      <w:pPr>
        <w:rPr>
          <w:sz w:val="24"/>
          <w:szCs w:val="24"/>
        </w:rPr>
      </w:pPr>
      <w:r>
        <w:rPr>
          <w:sz w:val="24"/>
          <w:szCs w:val="24"/>
        </w:rPr>
        <w:t>Administrative Office of Courts Central Office Staff</w:t>
      </w:r>
    </w:p>
    <w:p w14:paraId="035F9D4E" w14:textId="1727AD45" w:rsidR="00BD73BB" w:rsidRDefault="00BD73BB" w:rsidP="006E25A0">
      <w:pPr>
        <w:rPr>
          <w:sz w:val="24"/>
          <w:szCs w:val="24"/>
        </w:rPr>
      </w:pPr>
      <w:r>
        <w:rPr>
          <w:sz w:val="24"/>
          <w:szCs w:val="24"/>
        </w:rPr>
        <w:t>Other DCFS State Government Partners</w:t>
      </w:r>
    </w:p>
    <w:p w14:paraId="78A1F593" w14:textId="3A65B3DA" w:rsidR="00BD73BB" w:rsidRDefault="00BD73BB" w:rsidP="006E25A0">
      <w:pPr>
        <w:rPr>
          <w:sz w:val="24"/>
          <w:szCs w:val="24"/>
        </w:rPr>
      </w:pPr>
      <w:r>
        <w:rPr>
          <w:sz w:val="24"/>
          <w:szCs w:val="24"/>
        </w:rPr>
        <w:t>CASA Volunteers</w:t>
      </w:r>
    </w:p>
    <w:p w14:paraId="7856F0ED" w14:textId="369B5ADC" w:rsidR="00BD73BB" w:rsidRDefault="00BD73BB" w:rsidP="006E25A0">
      <w:pPr>
        <w:rPr>
          <w:sz w:val="24"/>
          <w:szCs w:val="24"/>
        </w:rPr>
      </w:pPr>
      <w:r>
        <w:rPr>
          <w:sz w:val="24"/>
          <w:szCs w:val="24"/>
        </w:rPr>
        <w:t>Attorneys ad Litem</w:t>
      </w:r>
    </w:p>
    <w:p w14:paraId="00F971C8" w14:textId="0BCE45FC" w:rsidR="00BD73BB" w:rsidRDefault="00BD73BB" w:rsidP="006E25A0">
      <w:pPr>
        <w:rPr>
          <w:sz w:val="24"/>
          <w:szCs w:val="24"/>
        </w:rPr>
      </w:pPr>
      <w:r>
        <w:rPr>
          <w:sz w:val="24"/>
          <w:szCs w:val="24"/>
        </w:rPr>
        <w:t>Parent Attorneys</w:t>
      </w:r>
    </w:p>
    <w:p w14:paraId="458D4E3B" w14:textId="1606BB41" w:rsidR="00BD73BB" w:rsidRDefault="00BD73BB" w:rsidP="006E25A0">
      <w:pPr>
        <w:rPr>
          <w:sz w:val="24"/>
          <w:szCs w:val="24"/>
        </w:rPr>
      </w:pPr>
      <w:r>
        <w:rPr>
          <w:sz w:val="24"/>
          <w:szCs w:val="24"/>
        </w:rPr>
        <w:t>Legislators</w:t>
      </w:r>
    </w:p>
    <w:p w14:paraId="4D677BD7" w14:textId="4F6E703A" w:rsidR="00BD73BB" w:rsidRDefault="00BD73BB" w:rsidP="006E25A0">
      <w:pPr>
        <w:rPr>
          <w:sz w:val="24"/>
          <w:szCs w:val="24"/>
        </w:rPr>
      </w:pPr>
      <w:r>
        <w:rPr>
          <w:sz w:val="24"/>
          <w:szCs w:val="24"/>
        </w:rPr>
        <w:t>DHS Licensing Division Staff</w:t>
      </w:r>
    </w:p>
    <w:p w14:paraId="5FC0077B" w14:textId="4AD0174B" w:rsidR="00BD73BB" w:rsidRDefault="00BD73BB" w:rsidP="006E25A0">
      <w:pPr>
        <w:rPr>
          <w:sz w:val="24"/>
          <w:szCs w:val="24"/>
        </w:rPr>
      </w:pPr>
      <w:r>
        <w:rPr>
          <w:sz w:val="24"/>
          <w:szCs w:val="24"/>
        </w:rPr>
        <w:t>Foster Parents</w:t>
      </w:r>
    </w:p>
    <w:p w14:paraId="7D569155" w14:textId="473750E5" w:rsidR="00BD73BB" w:rsidRDefault="00BD73BB" w:rsidP="006E25A0">
      <w:pPr>
        <w:rPr>
          <w:sz w:val="24"/>
          <w:szCs w:val="24"/>
        </w:rPr>
      </w:pPr>
      <w:r>
        <w:rPr>
          <w:sz w:val="24"/>
          <w:szCs w:val="24"/>
        </w:rPr>
        <w:t>Adoptive Parents</w:t>
      </w:r>
    </w:p>
    <w:p w14:paraId="7D126EF3" w14:textId="074875B9" w:rsidR="00BD73BB" w:rsidRDefault="00BD73BB" w:rsidP="006E25A0">
      <w:pPr>
        <w:rPr>
          <w:sz w:val="24"/>
          <w:szCs w:val="24"/>
        </w:rPr>
      </w:pPr>
      <w:r>
        <w:rPr>
          <w:sz w:val="24"/>
          <w:szCs w:val="24"/>
        </w:rPr>
        <w:t>Former Foster Youth</w:t>
      </w:r>
    </w:p>
    <w:p w14:paraId="42EC221F" w14:textId="4A4D4F05" w:rsidR="00BC2A16" w:rsidRDefault="00BC2A16" w:rsidP="006E25A0">
      <w:pPr>
        <w:rPr>
          <w:sz w:val="24"/>
          <w:szCs w:val="24"/>
        </w:rPr>
      </w:pPr>
      <w:r>
        <w:rPr>
          <w:sz w:val="24"/>
          <w:szCs w:val="24"/>
        </w:rPr>
        <w:t>Christians for Kids</w:t>
      </w:r>
    </w:p>
    <w:p w14:paraId="77E5E9F5" w14:textId="5F37B6D6" w:rsidR="00BC2A16" w:rsidRDefault="00BC2A16" w:rsidP="006E25A0">
      <w:pPr>
        <w:rPr>
          <w:sz w:val="24"/>
          <w:szCs w:val="24"/>
        </w:rPr>
      </w:pPr>
      <w:r>
        <w:rPr>
          <w:sz w:val="24"/>
          <w:szCs w:val="24"/>
        </w:rPr>
        <w:t>Merlin Foundation</w:t>
      </w:r>
    </w:p>
    <w:p w14:paraId="3D01848C" w14:textId="7BF8D36C" w:rsidR="00136927" w:rsidRDefault="00136927" w:rsidP="006E25A0">
      <w:pPr>
        <w:rPr>
          <w:sz w:val="24"/>
          <w:szCs w:val="24"/>
        </w:rPr>
      </w:pPr>
      <w:r>
        <w:rPr>
          <w:sz w:val="24"/>
          <w:szCs w:val="24"/>
        </w:rPr>
        <w:t>ACCARDV</w:t>
      </w:r>
    </w:p>
    <w:p w14:paraId="7E46C4CC" w14:textId="7D2408B5" w:rsidR="00136927" w:rsidRDefault="00136927" w:rsidP="006E25A0">
      <w:pPr>
        <w:rPr>
          <w:sz w:val="24"/>
          <w:szCs w:val="24"/>
        </w:rPr>
      </w:pPr>
      <w:r>
        <w:rPr>
          <w:sz w:val="24"/>
          <w:szCs w:val="24"/>
        </w:rPr>
        <w:t>Center for Youth and Families</w:t>
      </w:r>
    </w:p>
    <w:p w14:paraId="4DCA269A" w14:textId="42F1456F" w:rsidR="00BC2A16" w:rsidRDefault="00136927" w:rsidP="006E25A0">
      <w:pPr>
        <w:rPr>
          <w:sz w:val="24"/>
          <w:szCs w:val="24"/>
        </w:rPr>
      </w:pPr>
      <w:r>
        <w:rPr>
          <w:sz w:val="24"/>
          <w:szCs w:val="24"/>
        </w:rPr>
        <w:t>Foster Family Treatment Association</w:t>
      </w:r>
    </w:p>
    <w:p w14:paraId="61639427" w14:textId="2FE9D5DF" w:rsidR="00BC2A16" w:rsidRDefault="00BC2A16" w:rsidP="006E25A0">
      <w:pPr>
        <w:rPr>
          <w:sz w:val="24"/>
          <w:szCs w:val="24"/>
        </w:rPr>
      </w:pPr>
      <w:r>
        <w:rPr>
          <w:sz w:val="24"/>
          <w:szCs w:val="24"/>
        </w:rPr>
        <w:t>United Methodist Children’s Home</w:t>
      </w:r>
    </w:p>
    <w:p w14:paraId="29A16699" w14:textId="1F5F6B6E" w:rsidR="00BC2A16" w:rsidRDefault="00BC2A16" w:rsidP="006E25A0">
      <w:pPr>
        <w:rPr>
          <w:sz w:val="24"/>
          <w:szCs w:val="24"/>
        </w:rPr>
      </w:pPr>
      <w:r>
        <w:rPr>
          <w:sz w:val="24"/>
          <w:szCs w:val="24"/>
        </w:rPr>
        <w:t>Integrity, Inc.</w:t>
      </w:r>
    </w:p>
    <w:p w14:paraId="55D2605A" w14:textId="2C3B7234" w:rsidR="00BC2A16" w:rsidRDefault="00BC2A16" w:rsidP="006E25A0">
      <w:pPr>
        <w:rPr>
          <w:sz w:val="24"/>
          <w:szCs w:val="24"/>
        </w:rPr>
      </w:pPr>
      <w:r>
        <w:rPr>
          <w:sz w:val="24"/>
          <w:szCs w:val="24"/>
        </w:rPr>
        <w:t>Center for Youth and Families</w:t>
      </w:r>
    </w:p>
    <w:p w14:paraId="7F990835" w14:textId="2F783049" w:rsidR="00BC2A16" w:rsidRDefault="00BC2A16" w:rsidP="006E25A0">
      <w:pPr>
        <w:rPr>
          <w:sz w:val="24"/>
          <w:szCs w:val="24"/>
        </w:rPr>
      </w:pPr>
      <w:r>
        <w:rPr>
          <w:sz w:val="24"/>
          <w:szCs w:val="24"/>
        </w:rPr>
        <w:t>Arkansas Advocates for Children and Families</w:t>
      </w:r>
    </w:p>
    <w:p w14:paraId="2CDCD8DC" w14:textId="4B857F78" w:rsidR="00BC2A16" w:rsidRDefault="00BC2A16" w:rsidP="006E25A0">
      <w:pPr>
        <w:rPr>
          <w:sz w:val="24"/>
          <w:szCs w:val="24"/>
        </w:rPr>
      </w:pPr>
      <w:r>
        <w:rPr>
          <w:sz w:val="24"/>
          <w:szCs w:val="24"/>
        </w:rPr>
        <w:t>Child Abuse Prevention Board</w:t>
      </w:r>
    </w:p>
    <w:p w14:paraId="5B77F270" w14:textId="494077C6" w:rsidR="00BC2A16" w:rsidRDefault="00BC2A16" w:rsidP="006E25A0">
      <w:pPr>
        <w:rPr>
          <w:sz w:val="24"/>
          <w:szCs w:val="24"/>
        </w:rPr>
      </w:pPr>
      <w:r>
        <w:rPr>
          <w:sz w:val="24"/>
          <w:szCs w:val="24"/>
        </w:rPr>
        <w:t>Arkansas Child Welfare Think Tank</w:t>
      </w:r>
    </w:p>
    <w:p w14:paraId="239C9658" w14:textId="2D577CCD" w:rsidR="00BC2A16" w:rsidRDefault="00BC2A16" w:rsidP="006E25A0">
      <w:pPr>
        <w:rPr>
          <w:sz w:val="24"/>
          <w:szCs w:val="24"/>
        </w:rPr>
      </w:pPr>
      <w:r>
        <w:rPr>
          <w:sz w:val="24"/>
          <w:szCs w:val="24"/>
        </w:rPr>
        <w:t>Project Zero</w:t>
      </w:r>
    </w:p>
    <w:p w14:paraId="493FBD8C" w14:textId="23936EBB" w:rsidR="00BC2A16" w:rsidRDefault="00BC2A16" w:rsidP="006E25A0">
      <w:pPr>
        <w:rPr>
          <w:sz w:val="24"/>
          <w:szCs w:val="24"/>
        </w:rPr>
      </w:pPr>
      <w:r>
        <w:rPr>
          <w:sz w:val="24"/>
          <w:szCs w:val="24"/>
        </w:rPr>
        <w:t>Immerse Arkansas</w:t>
      </w:r>
    </w:p>
    <w:p w14:paraId="105B8F41" w14:textId="0000146E" w:rsidR="00BC2A16" w:rsidRDefault="00BC2A16" w:rsidP="006E25A0">
      <w:pPr>
        <w:rPr>
          <w:sz w:val="24"/>
          <w:szCs w:val="24"/>
        </w:rPr>
      </w:pPr>
      <w:r>
        <w:rPr>
          <w:sz w:val="24"/>
          <w:szCs w:val="24"/>
        </w:rPr>
        <w:t>Children’s Hospital</w:t>
      </w:r>
    </w:p>
    <w:p w14:paraId="11AB9F04" w14:textId="1E1C6760" w:rsidR="00BC2A16" w:rsidRDefault="00BC2A16" w:rsidP="006E25A0">
      <w:pPr>
        <w:rPr>
          <w:sz w:val="24"/>
          <w:szCs w:val="24"/>
        </w:rPr>
      </w:pPr>
      <w:r>
        <w:rPr>
          <w:sz w:val="24"/>
          <w:szCs w:val="24"/>
        </w:rPr>
        <w:t>Hornby &amp; Zeller</w:t>
      </w:r>
    </w:p>
    <w:p w14:paraId="09480D52" w14:textId="77777777" w:rsidR="00760659" w:rsidRDefault="00760659" w:rsidP="006E25A0">
      <w:pPr>
        <w:rPr>
          <w:sz w:val="24"/>
          <w:szCs w:val="24"/>
        </w:rPr>
        <w:sectPr w:rsidR="00760659" w:rsidSect="000009B6">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60"/>
        </w:sectPr>
      </w:pPr>
    </w:p>
    <w:p w14:paraId="7E5F0C15" w14:textId="15C6DE3A" w:rsidR="00BC2A16" w:rsidRPr="00AE400F" w:rsidRDefault="00BC2A16" w:rsidP="006E25A0">
      <w:pPr>
        <w:rPr>
          <w:sz w:val="24"/>
          <w:szCs w:val="24"/>
        </w:rPr>
      </w:pPr>
    </w:p>
    <w:p w14:paraId="07CEF568" w14:textId="77777777" w:rsidR="00737C12" w:rsidRDefault="00737C12" w:rsidP="00737C12">
      <w:pPr>
        <w:jc w:val="center"/>
        <w:rPr>
          <w:b/>
          <w:sz w:val="28"/>
          <w:szCs w:val="28"/>
        </w:rPr>
      </w:pPr>
    </w:p>
    <w:p w14:paraId="29A93EA5" w14:textId="77777777" w:rsidR="00737C12" w:rsidRDefault="00737C12" w:rsidP="00737C12">
      <w:pPr>
        <w:jc w:val="center"/>
        <w:rPr>
          <w:b/>
          <w:sz w:val="28"/>
          <w:szCs w:val="28"/>
        </w:rPr>
      </w:pPr>
    </w:p>
    <w:p w14:paraId="5CD50BB1" w14:textId="77777777" w:rsidR="00737C12" w:rsidRDefault="00737C12" w:rsidP="00737C12">
      <w:pPr>
        <w:jc w:val="center"/>
        <w:rPr>
          <w:b/>
          <w:sz w:val="28"/>
          <w:szCs w:val="28"/>
        </w:rPr>
      </w:pPr>
    </w:p>
    <w:p w14:paraId="742E77A3" w14:textId="77777777" w:rsidR="00737C12" w:rsidRDefault="00737C12" w:rsidP="00737C12">
      <w:pPr>
        <w:jc w:val="center"/>
        <w:rPr>
          <w:b/>
          <w:sz w:val="28"/>
          <w:szCs w:val="28"/>
        </w:rPr>
      </w:pPr>
    </w:p>
    <w:p w14:paraId="2D5D53E0" w14:textId="77777777" w:rsidR="006B5803" w:rsidRDefault="006B5803" w:rsidP="00737C12">
      <w:pPr>
        <w:jc w:val="center"/>
        <w:rPr>
          <w:b/>
          <w:sz w:val="28"/>
          <w:szCs w:val="28"/>
        </w:rPr>
      </w:pPr>
    </w:p>
    <w:p w14:paraId="34491579" w14:textId="1686A444" w:rsidR="00422971" w:rsidRDefault="00760659" w:rsidP="007C07B9">
      <w:pPr>
        <w:jc w:val="center"/>
      </w:pPr>
      <w:r>
        <w:rPr>
          <w:b/>
          <w:sz w:val="28"/>
          <w:szCs w:val="28"/>
        </w:rPr>
        <w:t>Pract</w:t>
      </w:r>
      <w:r w:rsidR="00737C12">
        <w:rPr>
          <w:b/>
          <w:sz w:val="28"/>
          <w:szCs w:val="28"/>
        </w:rPr>
        <w:t>ice Model Principles</w:t>
      </w:r>
    </w:p>
    <w:p w14:paraId="3BDBCC6B" w14:textId="19CB97D0" w:rsidR="00422971" w:rsidRPr="00B362CB" w:rsidRDefault="00737C12" w:rsidP="00737C12">
      <w:pPr>
        <w:pStyle w:val="ListParagraph"/>
        <w:numPr>
          <w:ilvl w:val="0"/>
          <w:numId w:val="5"/>
        </w:numPr>
        <w:rPr>
          <w:sz w:val="24"/>
          <w:szCs w:val="24"/>
        </w:rPr>
      </w:pPr>
      <w:r w:rsidRPr="00B362CB">
        <w:rPr>
          <w:sz w:val="24"/>
          <w:szCs w:val="24"/>
        </w:rPr>
        <w:t>Children should be protected from abuse and neglect.</w:t>
      </w:r>
    </w:p>
    <w:p w14:paraId="3B93EBDD" w14:textId="77777777" w:rsidR="00737C12" w:rsidRPr="00B362CB" w:rsidRDefault="00737C12" w:rsidP="00737C12">
      <w:pPr>
        <w:pStyle w:val="ListParagraph"/>
        <w:rPr>
          <w:sz w:val="24"/>
          <w:szCs w:val="24"/>
        </w:rPr>
      </w:pPr>
    </w:p>
    <w:p w14:paraId="377EE2B2" w14:textId="0CBC72EE" w:rsidR="00737C12" w:rsidRPr="00B362CB" w:rsidRDefault="00737C12" w:rsidP="00737C12">
      <w:pPr>
        <w:pStyle w:val="ListParagraph"/>
        <w:numPr>
          <w:ilvl w:val="0"/>
          <w:numId w:val="5"/>
        </w:numPr>
        <w:rPr>
          <w:sz w:val="24"/>
          <w:szCs w:val="24"/>
        </w:rPr>
      </w:pPr>
      <w:r w:rsidRPr="00B362CB">
        <w:rPr>
          <w:sz w:val="24"/>
          <w:szCs w:val="24"/>
        </w:rPr>
        <w:t>Children should live with their families and if services are needed to permit them to live with families safely, they should be provided.</w:t>
      </w:r>
    </w:p>
    <w:p w14:paraId="34CC57BA" w14:textId="77777777" w:rsidR="00737C12" w:rsidRPr="00B362CB" w:rsidRDefault="00737C12" w:rsidP="00737C12">
      <w:pPr>
        <w:pStyle w:val="ListParagraph"/>
        <w:rPr>
          <w:sz w:val="24"/>
          <w:szCs w:val="24"/>
        </w:rPr>
      </w:pPr>
    </w:p>
    <w:p w14:paraId="3491CBE9" w14:textId="58486D01" w:rsidR="00737C12" w:rsidRPr="00B362CB" w:rsidRDefault="00737C12" w:rsidP="00737C12">
      <w:pPr>
        <w:pStyle w:val="ListParagraph"/>
        <w:numPr>
          <w:ilvl w:val="0"/>
          <w:numId w:val="5"/>
        </w:numPr>
        <w:rPr>
          <w:sz w:val="24"/>
          <w:szCs w:val="24"/>
        </w:rPr>
      </w:pPr>
      <w:r w:rsidRPr="00B362CB">
        <w:rPr>
          <w:sz w:val="24"/>
          <w:szCs w:val="24"/>
        </w:rPr>
        <w:t>If children cannot live with their families safely, they should achieve timely permanency.</w:t>
      </w:r>
    </w:p>
    <w:p w14:paraId="2E92439F" w14:textId="77777777" w:rsidR="009C3BAE" w:rsidRPr="00B362CB" w:rsidRDefault="009C3BAE" w:rsidP="009C3BAE">
      <w:pPr>
        <w:pStyle w:val="ListParagraph"/>
        <w:rPr>
          <w:sz w:val="24"/>
          <w:szCs w:val="24"/>
        </w:rPr>
      </w:pPr>
    </w:p>
    <w:p w14:paraId="4A11D8A6" w14:textId="03FF6F2E" w:rsidR="00737C12" w:rsidRPr="00B362CB" w:rsidRDefault="00737C12" w:rsidP="00737C12">
      <w:pPr>
        <w:pStyle w:val="ListParagraph"/>
        <w:numPr>
          <w:ilvl w:val="0"/>
          <w:numId w:val="4"/>
        </w:numPr>
        <w:autoSpaceDE w:val="0"/>
        <w:autoSpaceDN w:val="0"/>
        <w:adjustRightInd w:val="0"/>
        <w:spacing w:after="0" w:line="240" w:lineRule="auto"/>
        <w:rPr>
          <w:rFonts w:cs="Cambria-Italic"/>
          <w:iCs/>
          <w:sz w:val="24"/>
          <w:szCs w:val="24"/>
        </w:rPr>
      </w:pPr>
      <w:r w:rsidRPr="00B362CB">
        <w:rPr>
          <w:rFonts w:cs="Cambria-Italic"/>
          <w:iCs/>
          <w:sz w:val="24"/>
          <w:szCs w:val="24"/>
        </w:rPr>
        <w:t xml:space="preserve">Services to children and their families should be planned and delivered through an individualized service plan crafted by the child and family team. Children, their parents, the family’s informal support network, substitute caregivers, providers and foster parents should be full participants on this team. Involvement should include regular participation in child and family team meetings as a point for engagement, assessment, planning, intervention and assessment of progress. </w:t>
      </w:r>
    </w:p>
    <w:p w14:paraId="29B1427B" w14:textId="77777777" w:rsidR="00737C12" w:rsidRPr="00B362CB" w:rsidRDefault="00737C12" w:rsidP="00737C12">
      <w:pPr>
        <w:autoSpaceDE w:val="0"/>
        <w:autoSpaceDN w:val="0"/>
        <w:adjustRightInd w:val="0"/>
        <w:spacing w:after="0" w:line="240" w:lineRule="auto"/>
        <w:rPr>
          <w:rFonts w:cs="Cambria-Italic"/>
          <w:iCs/>
          <w:sz w:val="24"/>
          <w:szCs w:val="24"/>
        </w:rPr>
      </w:pPr>
    </w:p>
    <w:p w14:paraId="10502AEC" w14:textId="77777777" w:rsidR="00737C12" w:rsidRPr="00B362CB" w:rsidRDefault="00737C12" w:rsidP="00737C12">
      <w:pPr>
        <w:pStyle w:val="ListParagraph"/>
        <w:numPr>
          <w:ilvl w:val="0"/>
          <w:numId w:val="4"/>
        </w:numPr>
        <w:autoSpaceDE w:val="0"/>
        <w:autoSpaceDN w:val="0"/>
        <w:adjustRightInd w:val="0"/>
        <w:spacing w:after="0" w:line="240" w:lineRule="auto"/>
        <w:rPr>
          <w:rFonts w:cs="Cambria-Italic"/>
          <w:iCs/>
          <w:sz w:val="24"/>
          <w:szCs w:val="24"/>
        </w:rPr>
      </w:pPr>
      <w:r w:rsidRPr="00B362CB">
        <w:rPr>
          <w:rFonts w:cs="Cambria-Italic"/>
          <w:iCs/>
          <w:sz w:val="24"/>
          <w:szCs w:val="24"/>
        </w:rPr>
        <w:t>The assessment process should address the underlying conditions creating the challenges experienced by the child and family, not just the symptoms of functioning. The system’s assessment should be developed with the contributions of the full family team.</w:t>
      </w:r>
    </w:p>
    <w:p w14:paraId="6E8B6916" w14:textId="77777777" w:rsidR="00737C12" w:rsidRPr="00B362CB" w:rsidRDefault="00737C12" w:rsidP="00737C12">
      <w:pPr>
        <w:autoSpaceDE w:val="0"/>
        <w:autoSpaceDN w:val="0"/>
        <w:adjustRightInd w:val="0"/>
        <w:spacing w:after="0" w:line="240" w:lineRule="auto"/>
        <w:rPr>
          <w:rFonts w:cs="Cambria-Italic"/>
          <w:iCs/>
          <w:sz w:val="24"/>
          <w:szCs w:val="24"/>
        </w:rPr>
      </w:pPr>
    </w:p>
    <w:p w14:paraId="754B6A86" w14:textId="77777777" w:rsidR="00737C12" w:rsidRPr="00B362CB" w:rsidRDefault="00737C12" w:rsidP="00737C12">
      <w:pPr>
        <w:pStyle w:val="ListParagraph"/>
        <w:numPr>
          <w:ilvl w:val="0"/>
          <w:numId w:val="4"/>
        </w:numPr>
        <w:autoSpaceDE w:val="0"/>
        <w:autoSpaceDN w:val="0"/>
        <w:adjustRightInd w:val="0"/>
        <w:spacing w:after="0" w:line="240" w:lineRule="auto"/>
        <w:rPr>
          <w:rFonts w:cs="Cambria-Italic"/>
          <w:iCs/>
          <w:sz w:val="24"/>
          <w:szCs w:val="24"/>
        </w:rPr>
      </w:pPr>
      <w:r w:rsidRPr="00B362CB">
        <w:rPr>
          <w:rFonts w:cs="Cambria-Italic"/>
          <w:iCs/>
          <w:sz w:val="24"/>
          <w:szCs w:val="24"/>
        </w:rPr>
        <w:t xml:space="preserve">The mix of services provided should be responsive to the strengths and needs of the child and family. Development of the needs-based plans should not be constrained by the availability of services. Where needed services are unavailable, appropriate services should be created. </w:t>
      </w:r>
    </w:p>
    <w:p w14:paraId="6942887E" w14:textId="77777777" w:rsidR="00737C12" w:rsidRPr="00B362CB" w:rsidRDefault="00737C12" w:rsidP="00737C12">
      <w:pPr>
        <w:rPr>
          <w:sz w:val="24"/>
          <w:szCs w:val="24"/>
        </w:rPr>
      </w:pPr>
    </w:p>
    <w:p w14:paraId="387B46AE" w14:textId="77777777" w:rsidR="00737C12" w:rsidRPr="00B362CB" w:rsidRDefault="00737C12" w:rsidP="00737C12">
      <w:pPr>
        <w:pStyle w:val="ListParagraph"/>
        <w:numPr>
          <w:ilvl w:val="0"/>
          <w:numId w:val="4"/>
        </w:numPr>
        <w:autoSpaceDE w:val="0"/>
        <w:autoSpaceDN w:val="0"/>
        <w:adjustRightInd w:val="0"/>
        <w:spacing w:after="0" w:line="240" w:lineRule="auto"/>
        <w:rPr>
          <w:rFonts w:cs="Cambria-Italic"/>
          <w:iCs/>
          <w:sz w:val="24"/>
          <w:szCs w:val="24"/>
        </w:rPr>
      </w:pPr>
      <w:r w:rsidRPr="00B362CB">
        <w:rPr>
          <w:rFonts w:cs="Cambria-Italic"/>
          <w:iCs/>
          <w:sz w:val="24"/>
          <w:szCs w:val="24"/>
        </w:rPr>
        <w:t>Children and their families should have access to a comprehensive array of services, including intensive home-based services, designed to enable children to live with their families or to achieve timely permanency.</w:t>
      </w:r>
    </w:p>
    <w:p w14:paraId="6C53532E" w14:textId="77777777" w:rsidR="00737C12" w:rsidRPr="00B362CB" w:rsidRDefault="00737C12" w:rsidP="00737C12">
      <w:pPr>
        <w:autoSpaceDE w:val="0"/>
        <w:autoSpaceDN w:val="0"/>
        <w:adjustRightInd w:val="0"/>
        <w:spacing w:after="0" w:line="240" w:lineRule="auto"/>
        <w:rPr>
          <w:rFonts w:cs="Cambria-Italic"/>
          <w:iCs/>
          <w:sz w:val="24"/>
          <w:szCs w:val="24"/>
        </w:rPr>
      </w:pPr>
    </w:p>
    <w:p w14:paraId="53AB00F9" w14:textId="77777777" w:rsidR="00737C12" w:rsidRPr="00B362CB" w:rsidRDefault="00737C12" w:rsidP="00737C12">
      <w:pPr>
        <w:pStyle w:val="ListParagraph"/>
        <w:numPr>
          <w:ilvl w:val="0"/>
          <w:numId w:val="4"/>
        </w:numPr>
        <w:autoSpaceDE w:val="0"/>
        <w:autoSpaceDN w:val="0"/>
        <w:adjustRightInd w:val="0"/>
        <w:spacing w:after="0" w:line="240" w:lineRule="auto"/>
        <w:rPr>
          <w:rFonts w:cs="Cambria-Italic"/>
          <w:iCs/>
          <w:sz w:val="24"/>
          <w:szCs w:val="24"/>
        </w:rPr>
      </w:pPr>
      <w:r w:rsidRPr="00B362CB">
        <w:rPr>
          <w:rFonts w:cs="Cambria-Italic"/>
          <w:iCs/>
          <w:sz w:val="24"/>
          <w:szCs w:val="24"/>
        </w:rPr>
        <w:t>Services should be flexible and adapted to child and family needs. Children and families should not be expected to adapt to ineffective services.</w:t>
      </w:r>
    </w:p>
    <w:p w14:paraId="625134A2" w14:textId="77777777" w:rsidR="00737C12" w:rsidRPr="00B362CB" w:rsidRDefault="00737C12" w:rsidP="00737C12">
      <w:pPr>
        <w:autoSpaceDE w:val="0"/>
        <w:autoSpaceDN w:val="0"/>
        <w:adjustRightInd w:val="0"/>
        <w:spacing w:after="0" w:line="240" w:lineRule="auto"/>
        <w:rPr>
          <w:rFonts w:cs="Cambria-Italic"/>
          <w:iCs/>
          <w:sz w:val="24"/>
          <w:szCs w:val="24"/>
        </w:rPr>
      </w:pPr>
    </w:p>
    <w:p w14:paraId="605D256F" w14:textId="77777777" w:rsidR="00737C12" w:rsidRPr="00B362CB" w:rsidRDefault="00737C12" w:rsidP="00737C12">
      <w:pPr>
        <w:pStyle w:val="ListParagraph"/>
        <w:numPr>
          <w:ilvl w:val="0"/>
          <w:numId w:val="4"/>
        </w:numPr>
        <w:autoSpaceDE w:val="0"/>
        <w:autoSpaceDN w:val="0"/>
        <w:adjustRightInd w:val="0"/>
        <w:spacing w:after="0" w:line="240" w:lineRule="auto"/>
        <w:rPr>
          <w:rFonts w:cs="Cambria-Italic"/>
          <w:iCs/>
          <w:sz w:val="24"/>
          <w:szCs w:val="24"/>
        </w:rPr>
      </w:pPr>
      <w:r w:rsidRPr="00B362CB">
        <w:rPr>
          <w:rFonts w:cs="Cambria-Italic"/>
          <w:iCs/>
          <w:sz w:val="24"/>
          <w:szCs w:val="24"/>
        </w:rPr>
        <w:t xml:space="preserve">Placements should be made in the least restrictive, most normalized setting responsive to the child’s needs.   Children should not be placed in congregate settings unless that environment is the </w:t>
      </w:r>
      <w:r w:rsidRPr="00B362CB">
        <w:rPr>
          <w:rFonts w:cs="Cambria-Italic"/>
          <w:iCs/>
          <w:sz w:val="24"/>
          <w:szCs w:val="24"/>
          <w:u w:val="single"/>
        </w:rPr>
        <w:t>only</w:t>
      </w:r>
      <w:r w:rsidRPr="00B362CB">
        <w:rPr>
          <w:rFonts w:cs="Cambria-Italic"/>
          <w:iCs/>
          <w:sz w:val="24"/>
          <w:szCs w:val="24"/>
        </w:rPr>
        <w:t xml:space="preserve"> setting in which needed services can be provided.</w:t>
      </w:r>
    </w:p>
    <w:p w14:paraId="7071F374" w14:textId="77777777" w:rsidR="00737C12" w:rsidRPr="00B362CB" w:rsidRDefault="00737C12" w:rsidP="00737C12">
      <w:pPr>
        <w:autoSpaceDE w:val="0"/>
        <w:autoSpaceDN w:val="0"/>
        <w:adjustRightInd w:val="0"/>
        <w:spacing w:after="0" w:line="240" w:lineRule="auto"/>
        <w:rPr>
          <w:rFonts w:cs="Cambria-Italic"/>
          <w:iCs/>
          <w:sz w:val="24"/>
          <w:szCs w:val="24"/>
        </w:rPr>
      </w:pPr>
    </w:p>
    <w:p w14:paraId="5E95AB11" w14:textId="77777777" w:rsidR="00737C12" w:rsidRPr="00B362CB" w:rsidRDefault="00737C12" w:rsidP="00737C12">
      <w:pPr>
        <w:pStyle w:val="ListParagraph"/>
        <w:numPr>
          <w:ilvl w:val="0"/>
          <w:numId w:val="4"/>
        </w:numPr>
        <w:autoSpaceDE w:val="0"/>
        <w:autoSpaceDN w:val="0"/>
        <w:adjustRightInd w:val="0"/>
        <w:spacing w:after="0" w:line="240" w:lineRule="auto"/>
        <w:rPr>
          <w:rFonts w:cs="Cambria-Italic"/>
          <w:iCs/>
          <w:sz w:val="24"/>
          <w:szCs w:val="24"/>
        </w:rPr>
      </w:pPr>
      <w:r w:rsidRPr="00B362CB">
        <w:rPr>
          <w:rFonts w:cs="Cambria-Italic"/>
          <w:iCs/>
          <w:sz w:val="24"/>
          <w:szCs w:val="24"/>
        </w:rPr>
        <w:t xml:space="preserve">The system should avoid temporary, interim placements. To this end, the use of congregate shelter placements should be avoided in favor of family based settings. </w:t>
      </w:r>
    </w:p>
    <w:p w14:paraId="2ED083D1" w14:textId="77777777" w:rsidR="00737C12" w:rsidRPr="00B362CB" w:rsidRDefault="00737C12" w:rsidP="00737C12">
      <w:pPr>
        <w:autoSpaceDE w:val="0"/>
        <w:autoSpaceDN w:val="0"/>
        <w:adjustRightInd w:val="0"/>
        <w:spacing w:after="0" w:line="240" w:lineRule="auto"/>
        <w:rPr>
          <w:rFonts w:cs="Cambria-Italic"/>
          <w:iCs/>
          <w:sz w:val="24"/>
          <w:szCs w:val="24"/>
        </w:rPr>
      </w:pPr>
    </w:p>
    <w:p w14:paraId="105DBE33" w14:textId="77777777" w:rsidR="00737C12" w:rsidRPr="00E663DB" w:rsidRDefault="00737C12" w:rsidP="00737C12">
      <w:pPr>
        <w:pStyle w:val="ListParagraph"/>
        <w:numPr>
          <w:ilvl w:val="0"/>
          <w:numId w:val="4"/>
        </w:numPr>
        <w:autoSpaceDE w:val="0"/>
        <w:autoSpaceDN w:val="0"/>
        <w:adjustRightInd w:val="0"/>
        <w:spacing w:after="0" w:line="240" w:lineRule="auto"/>
        <w:rPr>
          <w:rFonts w:cs="Cambria-Italic"/>
          <w:iCs/>
          <w:sz w:val="24"/>
          <w:szCs w:val="24"/>
        </w:rPr>
      </w:pPr>
      <w:r w:rsidRPr="00B362CB">
        <w:rPr>
          <w:rFonts w:cs="Cambria-Italic"/>
          <w:iCs/>
          <w:sz w:val="24"/>
          <w:szCs w:val="24"/>
        </w:rPr>
        <w:t>The system should vigorously seek to assure that children are integrat</w:t>
      </w:r>
      <w:r w:rsidRPr="00E663DB">
        <w:rPr>
          <w:rFonts w:cs="Cambria-Italic"/>
          <w:iCs/>
          <w:sz w:val="24"/>
          <w:szCs w:val="24"/>
        </w:rPr>
        <w:t>ed to the maximum extent feasible into normalized school settings and activities and achieve success in school.</w:t>
      </w:r>
    </w:p>
    <w:p w14:paraId="775652C3" w14:textId="77777777" w:rsidR="00737C12" w:rsidRPr="00EB7744" w:rsidRDefault="00737C12" w:rsidP="00737C12">
      <w:pPr>
        <w:autoSpaceDE w:val="0"/>
        <w:autoSpaceDN w:val="0"/>
        <w:adjustRightInd w:val="0"/>
        <w:spacing w:after="0" w:line="240" w:lineRule="auto"/>
        <w:rPr>
          <w:rFonts w:cs="Cambria-Italic"/>
          <w:iCs/>
          <w:sz w:val="24"/>
          <w:szCs w:val="24"/>
        </w:rPr>
      </w:pPr>
    </w:p>
    <w:p w14:paraId="45B1F16F" w14:textId="77777777" w:rsidR="00737C12" w:rsidRPr="00E663DB" w:rsidRDefault="00737C12" w:rsidP="00737C12">
      <w:pPr>
        <w:pStyle w:val="ListParagraph"/>
        <w:numPr>
          <w:ilvl w:val="0"/>
          <w:numId w:val="4"/>
        </w:numPr>
        <w:autoSpaceDE w:val="0"/>
        <w:autoSpaceDN w:val="0"/>
        <w:adjustRightInd w:val="0"/>
        <w:spacing w:after="0" w:line="240" w:lineRule="auto"/>
        <w:rPr>
          <w:rFonts w:cs="Cambria-Italic"/>
          <w:iCs/>
          <w:sz w:val="24"/>
          <w:szCs w:val="24"/>
        </w:rPr>
      </w:pPr>
      <w:r w:rsidRPr="00E663DB">
        <w:rPr>
          <w:rFonts w:cs="Cambria-Italic"/>
          <w:iCs/>
          <w:sz w:val="24"/>
          <w:szCs w:val="24"/>
        </w:rPr>
        <w:t>The system should forbid summary discharges of children from placement. The system should develop a policy that describes steps that should be taken prior to a child’s discharge from a placement. The system should be based on the philosophy that the disruption of a placement is a failure of the system, not a failure of the child.</w:t>
      </w:r>
    </w:p>
    <w:p w14:paraId="56880D0F" w14:textId="77777777" w:rsidR="00737C12" w:rsidRDefault="00737C12" w:rsidP="00737C12">
      <w:pPr>
        <w:autoSpaceDE w:val="0"/>
        <w:autoSpaceDN w:val="0"/>
        <w:adjustRightInd w:val="0"/>
        <w:spacing w:after="0" w:line="240" w:lineRule="auto"/>
        <w:rPr>
          <w:rFonts w:cs="TimesNewRomanPSMT"/>
          <w:sz w:val="24"/>
          <w:szCs w:val="24"/>
        </w:rPr>
      </w:pPr>
    </w:p>
    <w:p w14:paraId="3C69DB35" w14:textId="77777777" w:rsidR="00737C12" w:rsidRPr="00E663DB" w:rsidRDefault="00737C12" w:rsidP="00737C12">
      <w:pPr>
        <w:pStyle w:val="ListParagraph"/>
        <w:numPr>
          <w:ilvl w:val="0"/>
          <w:numId w:val="4"/>
        </w:numPr>
        <w:autoSpaceDE w:val="0"/>
        <w:autoSpaceDN w:val="0"/>
        <w:adjustRightInd w:val="0"/>
        <w:spacing w:after="0" w:line="240" w:lineRule="auto"/>
        <w:rPr>
          <w:rFonts w:cs="Cambria-Italic"/>
          <w:iCs/>
          <w:sz w:val="24"/>
          <w:szCs w:val="24"/>
        </w:rPr>
      </w:pPr>
      <w:r w:rsidRPr="00E663DB">
        <w:rPr>
          <w:rFonts w:cs="Cambria-Italic"/>
          <w:iCs/>
          <w:sz w:val="24"/>
          <w:szCs w:val="24"/>
        </w:rPr>
        <w:t>The system should promote smooth transitions for children to adult service. Planning for youth in custody who will reach adulthood without permanence should connect them with caring adults, both relatives and other resources, whom they can turn to for help after system supports are no longer available.</w:t>
      </w:r>
    </w:p>
    <w:p w14:paraId="440B432A" w14:textId="77777777" w:rsidR="00737C12" w:rsidRDefault="00737C12" w:rsidP="00737C12">
      <w:pPr>
        <w:autoSpaceDE w:val="0"/>
        <w:autoSpaceDN w:val="0"/>
        <w:adjustRightInd w:val="0"/>
        <w:spacing w:after="0" w:line="240" w:lineRule="auto"/>
        <w:rPr>
          <w:rFonts w:cs="Cambria-Italic"/>
          <w:iCs/>
          <w:sz w:val="24"/>
          <w:szCs w:val="24"/>
        </w:rPr>
      </w:pPr>
    </w:p>
    <w:p w14:paraId="3B688377" w14:textId="77777777" w:rsidR="005D591C" w:rsidRDefault="005D591C"/>
    <w:sectPr w:rsidR="005D591C" w:rsidSect="000009B6">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3B8C2" w14:textId="77777777" w:rsidR="00641DA3" w:rsidRDefault="00641DA3" w:rsidP="00303772">
      <w:pPr>
        <w:spacing w:after="0" w:line="240" w:lineRule="auto"/>
      </w:pPr>
      <w:r>
        <w:separator/>
      </w:r>
    </w:p>
  </w:endnote>
  <w:endnote w:type="continuationSeparator" w:id="0">
    <w:p w14:paraId="4CD573E4" w14:textId="77777777" w:rsidR="00641DA3" w:rsidRDefault="00641DA3" w:rsidP="00303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 Pro">
    <w:altName w:val="Minion Pro"/>
    <w:panose1 w:val="00000000000000000000"/>
    <w:charset w:val="00"/>
    <w:family w:val="roman"/>
    <w:notTrueType/>
    <w:pitch w:val="default"/>
    <w:sig w:usb0="00000003" w:usb1="00000000" w:usb2="0000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428334"/>
      <w:docPartObj>
        <w:docPartGallery w:val="Page Numbers (Bottom of Page)"/>
        <w:docPartUnique/>
      </w:docPartObj>
    </w:sdtPr>
    <w:sdtEndPr>
      <w:rPr>
        <w:noProof/>
      </w:rPr>
    </w:sdtEndPr>
    <w:sdtContent>
      <w:p w14:paraId="516A0F65" w14:textId="082EAD83" w:rsidR="00641DA3" w:rsidRDefault="00641DA3">
        <w:pPr>
          <w:pStyle w:val="Footer"/>
          <w:jc w:val="right"/>
        </w:pPr>
        <w:r>
          <w:fldChar w:fldCharType="begin"/>
        </w:r>
        <w:r>
          <w:instrText xml:space="preserve"> PAGE   \* MERGEFORMAT </w:instrText>
        </w:r>
        <w:r>
          <w:fldChar w:fldCharType="separate"/>
        </w:r>
        <w:r w:rsidR="00682C6D">
          <w:rPr>
            <w:noProof/>
          </w:rPr>
          <w:t>41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72732" w14:textId="77777777" w:rsidR="00641DA3" w:rsidRDefault="00641DA3" w:rsidP="00174DC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69937" w14:textId="77777777" w:rsidR="00641DA3" w:rsidRDefault="00641DA3" w:rsidP="00303772">
      <w:pPr>
        <w:spacing w:after="0" w:line="240" w:lineRule="auto"/>
      </w:pPr>
      <w:r>
        <w:separator/>
      </w:r>
    </w:p>
  </w:footnote>
  <w:footnote w:type="continuationSeparator" w:id="0">
    <w:p w14:paraId="40DBA1F8" w14:textId="77777777" w:rsidR="00641DA3" w:rsidRDefault="00641DA3" w:rsidP="00303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0EAA"/>
    <w:multiLevelType w:val="hybridMultilevel"/>
    <w:tmpl w:val="661C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E37A8"/>
    <w:multiLevelType w:val="hybridMultilevel"/>
    <w:tmpl w:val="C59E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74C3B"/>
    <w:multiLevelType w:val="hybridMultilevel"/>
    <w:tmpl w:val="C4242B7A"/>
    <w:lvl w:ilvl="0" w:tplc="839205E0">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E3BB7"/>
    <w:multiLevelType w:val="hybridMultilevel"/>
    <w:tmpl w:val="D50A5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66163"/>
    <w:multiLevelType w:val="hybridMultilevel"/>
    <w:tmpl w:val="D7A6AC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F78BB"/>
    <w:multiLevelType w:val="hybridMultilevel"/>
    <w:tmpl w:val="F1E6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1696A"/>
    <w:multiLevelType w:val="hybridMultilevel"/>
    <w:tmpl w:val="7AC41694"/>
    <w:lvl w:ilvl="0" w:tplc="D8D03E04">
      <w:start w:val="13"/>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965247"/>
    <w:multiLevelType w:val="hybridMultilevel"/>
    <w:tmpl w:val="2AA0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402F7"/>
    <w:multiLevelType w:val="hybridMultilevel"/>
    <w:tmpl w:val="4D94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17289"/>
    <w:multiLevelType w:val="hybridMultilevel"/>
    <w:tmpl w:val="298EA3F6"/>
    <w:lvl w:ilvl="0" w:tplc="187A77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AC19C4"/>
    <w:multiLevelType w:val="hybridMultilevel"/>
    <w:tmpl w:val="6CC4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912B2"/>
    <w:multiLevelType w:val="hybridMultilevel"/>
    <w:tmpl w:val="C9B6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97AD5"/>
    <w:multiLevelType w:val="hybridMultilevel"/>
    <w:tmpl w:val="102C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61E85"/>
    <w:multiLevelType w:val="hybridMultilevel"/>
    <w:tmpl w:val="3426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10998"/>
    <w:multiLevelType w:val="hybridMultilevel"/>
    <w:tmpl w:val="68C0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10531"/>
    <w:multiLevelType w:val="hybridMultilevel"/>
    <w:tmpl w:val="82880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749E1"/>
    <w:multiLevelType w:val="hybridMultilevel"/>
    <w:tmpl w:val="E662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1"/>
  </w:num>
  <w:num w:numId="5">
    <w:abstractNumId w:val="12"/>
  </w:num>
  <w:num w:numId="6">
    <w:abstractNumId w:val="0"/>
  </w:num>
  <w:num w:numId="7">
    <w:abstractNumId w:val="7"/>
  </w:num>
  <w:num w:numId="8">
    <w:abstractNumId w:val="9"/>
  </w:num>
  <w:num w:numId="9">
    <w:abstractNumId w:val="15"/>
  </w:num>
  <w:num w:numId="10">
    <w:abstractNumId w:val="6"/>
  </w:num>
  <w:num w:numId="11">
    <w:abstractNumId w:val="2"/>
  </w:num>
  <w:num w:numId="12">
    <w:abstractNumId w:val="8"/>
  </w:num>
  <w:num w:numId="13">
    <w:abstractNumId w:val="4"/>
  </w:num>
  <w:num w:numId="14">
    <w:abstractNumId w:val="11"/>
  </w:num>
  <w:num w:numId="15">
    <w:abstractNumId w:val="1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1C"/>
    <w:rsid w:val="000009B6"/>
    <w:rsid w:val="00002715"/>
    <w:rsid w:val="00005494"/>
    <w:rsid w:val="0001210A"/>
    <w:rsid w:val="0003026E"/>
    <w:rsid w:val="000302D5"/>
    <w:rsid w:val="000406C0"/>
    <w:rsid w:val="000421F6"/>
    <w:rsid w:val="00045D9A"/>
    <w:rsid w:val="000463D2"/>
    <w:rsid w:val="00066540"/>
    <w:rsid w:val="0006663D"/>
    <w:rsid w:val="00066826"/>
    <w:rsid w:val="000719B6"/>
    <w:rsid w:val="00082975"/>
    <w:rsid w:val="0009130C"/>
    <w:rsid w:val="000978C0"/>
    <w:rsid w:val="000A6458"/>
    <w:rsid w:val="000B0A26"/>
    <w:rsid w:val="000B53E7"/>
    <w:rsid w:val="000C3CD0"/>
    <w:rsid w:val="000D303D"/>
    <w:rsid w:val="000D7344"/>
    <w:rsid w:val="00104CBC"/>
    <w:rsid w:val="00112BC9"/>
    <w:rsid w:val="001279D5"/>
    <w:rsid w:val="00127BE6"/>
    <w:rsid w:val="00136927"/>
    <w:rsid w:val="00140EB8"/>
    <w:rsid w:val="00155248"/>
    <w:rsid w:val="0016113F"/>
    <w:rsid w:val="00174DC9"/>
    <w:rsid w:val="0019323C"/>
    <w:rsid w:val="001A1B14"/>
    <w:rsid w:val="001C05B6"/>
    <w:rsid w:val="001C5C83"/>
    <w:rsid w:val="001D21F5"/>
    <w:rsid w:val="001D3456"/>
    <w:rsid w:val="001E1F8D"/>
    <w:rsid w:val="001E4510"/>
    <w:rsid w:val="001F57B1"/>
    <w:rsid w:val="001F5BE9"/>
    <w:rsid w:val="001F61FE"/>
    <w:rsid w:val="0020212F"/>
    <w:rsid w:val="00207264"/>
    <w:rsid w:val="00215659"/>
    <w:rsid w:val="002411D3"/>
    <w:rsid w:val="002570E6"/>
    <w:rsid w:val="0026233A"/>
    <w:rsid w:val="00274C1E"/>
    <w:rsid w:val="00280590"/>
    <w:rsid w:val="00290C13"/>
    <w:rsid w:val="00296301"/>
    <w:rsid w:val="002A406E"/>
    <w:rsid w:val="002A5BBD"/>
    <w:rsid w:val="002B3971"/>
    <w:rsid w:val="002B5870"/>
    <w:rsid w:val="002B6D14"/>
    <w:rsid w:val="002C4AD5"/>
    <w:rsid w:val="002D0B36"/>
    <w:rsid w:val="002F0D8E"/>
    <w:rsid w:val="002F16C4"/>
    <w:rsid w:val="00302176"/>
    <w:rsid w:val="00303772"/>
    <w:rsid w:val="00303F8E"/>
    <w:rsid w:val="003077A7"/>
    <w:rsid w:val="00320680"/>
    <w:rsid w:val="00331AD6"/>
    <w:rsid w:val="003340BE"/>
    <w:rsid w:val="003344D8"/>
    <w:rsid w:val="0033563A"/>
    <w:rsid w:val="0034563E"/>
    <w:rsid w:val="00345CEF"/>
    <w:rsid w:val="003539BB"/>
    <w:rsid w:val="0035405C"/>
    <w:rsid w:val="003566CC"/>
    <w:rsid w:val="003631D0"/>
    <w:rsid w:val="003666C5"/>
    <w:rsid w:val="00366A9C"/>
    <w:rsid w:val="00381DC5"/>
    <w:rsid w:val="00382064"/>
    <w:rsid w:val="0039090F"/>
    <w:rsid w:val="003A4E9E"/>
    <w:rsid w:val="003A616C"/>
    <w:rsid w:val="003A7B2D"/>
    <w:rsid w:val="003C0E31"/>
    <w:rsid w:val="003E69FB"/>
    <w:rsid w:val="003E6D95"/>
    <w:rsid w:val="00400C40"/>
    <w:rsid w:val="00411505"/>
    <w:rsid w:val="00417A2F"/>
    <w:rsid w:val="00422971"/>
    <w:rsid w:val="0043460D"/>
    <w:rsid w:val="004346CE"/>
    <w:rsid w:val="00445ED6"/>
    <w:rsid w:val="004466D4"/>
    <w:rsid w:val="004565AE"/>
    <w:rsid w:val="00456E37"/>
    <w:rsid w:val="004578AD"/>
    <w:rsid w:val="004579BE"/>
    <w:rsid w:val="00464D08"/>
    <w:rsid w:val="004706E1"/>
    <w:rsid w:val="00484EE9"/>
    <w:rsid w:val="004873C0"/>
    <w:rsid w:val="004A436D"/>
    <w:rsid w:val="004B2D41"/>
    <w:rsid w:val="004B638D"/>
    <w:rsid w:val="004C660F"/>
    <w:rsid w:val="004C7F1A"/>
    <w:rsid w:val="004E06C1"/>
    <w:rsid w:val="004E21CB"/>
    <w:rsid w:val="004E3F6E"/>
    <w:rsid w:val="004E4AC9"/>
    <w:rsid w:val="004E65F8"/>
    <w:rsid w:val="004F0B7D"/>
    <w:rsid w:val="004F1E74"/>
    <w:rsid w:val="004F6253"/>
    <w:rsid w:val="00515361"/>
    <w:rsid w:val="005277DA"/>
    <w:rsid w:val="00530339"/>
    <w:rsid w:val="005336DE"/>
    <w:rsid w:val="005573B5"/>
    <w:rsid w:val="00564185"/>
    <w:rsid w:val="00593380"/>
    <w:rsid w:val="00596484"/>
    <w:rsid w:val="005A7F04"/>
    <w:rsid w:val="005B2058"/>
    <w:rsid w:val="005C0F1E"/>
    <w:rsid w:val="005C135B"/>
    <w:rsid w:val="005C4987"/>
    <w:rsid w:val="005D1BB3"/>
    <w:rsid w:val="005D5108"/>
    <w:rsid w:val="005D591C"/>
    <w:rsid w:val="005D7B76"/>
    <w:rsid w:val="005E0DC6"/>
    <w:rsid w:val="005E49A3"/>
    <w:rsid w:val="005E5029"/>
    <w:rsid w:val="005F22A2"/>
    <w:rsid w:val="00603364"/>
    <w:rsid w:val="0060678A"/>
    <w:rsid w:val="00606D02"/>
    <w:rsid w:val="00610A53"/>
    <w:rsid w:val="00612914"/>
    <w:rsid w:val="00612D04"/>
    <w:rsid w:val="006241F3"/>
    <w:rsid w:val="00641DA3"/>
    <w:rsid w:val="00651533"/>
    <w:rsid w:val="00660060"/>
    <w:rsid w:val="0066123E"/>
    <w:rsid w:val="0066243C"/>
    <w:rsid w:val="00673014"/>
    <w:rsid w:val="00676483"/>
    <w:rsid w:val="00676C8F"/>
    <w:rsid w:val="00676F8F"/>
    <w:rsid w:val="00682C6D"/>
    <w:rsid w:val="00682CD2"/>
    <w:rsid w:val="00686E11"/>
    <w:rsid w:val="00692312"/>
    <w:rsid w:val="006A36B4"/>
    <w:rsid w:val="006B5803"/>
    <w:rsid w:val="006C4745"/>
    <w:rsid w:val="006C4B20"/>
    <w:rsid w:val="006C4CD6"/>
    <w:rsid w:val="006E25A0"/>
    <w:rsid w:val="006E73D3"/>
    <w:rsid w:val="006F495F"/>
    <w:rsid w:val="006F52DA"/>
    <w:rsid w:val="00700E8B"/>
    <w:rsid w:val="0071237F"/>
    <w:rsid w:val="00713DFE"/>
    <w:rsid w:val="00715522"/>
    <w:rsid w:val="00717147"/>
    <w:rsid w:val="00726EA0"/>
    <w:rsid w:val="00727FAA"/>
    <w:rsid w:val="00737C12"/>
    <w:rsid w:val="007438DE"/>
    <w:rsid w:val="00754F54"/>
    <w:rsid w:val="00760659"/>
    <w:rsid w:val="00763113"/>
    <w:rsid w:val="007670F3"/>
    <w:rsid w:val="00771387"/>
    <w:rsid w:val="00772DAD"/>
    <w:rsid w:val="0079155F"/>
    <w:rsid w:val="00797333"/>
    <w:rsid w:val="007B24D4"/>
    <w:rsid w:val="007B6B12"/>
    <w:rsid w:val="007C07B9"/>
    <w:rsid w:val="007E28E9"/>
    <w:rsid w:val="007E576E"/>
    <w:rsid w:val="007E7F5F"/>
    <w:rsid w:val="007F67B1"/>
    <w:rsid w:val="00800B35"/>
    <w:rsid w:val="00804CD1"/>
    <w:rsid w:val="008331F5"/>
    <w:rsid w:val="00836FDE"/>
    <w:rsid w:val="008430BF"/>
    <w:rsid w:val="00847CE2"/>
    <w:rsid w:val="008526D7"/>
    <w:rsid w:val="00852B5F"/>
    <w:rsid w:val="00854A09"/>
    <w:rsid w:val="00864D83"/>
    <w:rsid w:val="0087072A"/>
    <w:rsid w:val="00871380"/>
    <w:rsid w:val="00875720"/>
    <w:rsid w:val="00877CD0"/>
    <w:rsid w:val="00877EB4"/>
    <w:rsid w:val="00883EFE"/>
    <w:rsid w:val="008A60F2"/>
    <w:rsid w:val="008B28E7"/>
    <w:rsid w:val="008B499C"/>
    <w:rsid w:val="008C05F2"/>
    <w:rsid w:val="0090093A"/>
    <w:rsid w:val="009055AA"/>
    <w:rsid w:val="0090677D"/>
    <w:rsid w:val="00907BF0"/>
    <w:rsid w:val="00910B1E"/>
    <w:rsid w:val="00920FAA"/>
    <w:rsid w:val="009278C2"/>
    <w:rsid w:val="00937543"/>
    <w:rsid w:val="009410E8"/>
    <w:rsid w:val="00946A5C"/>
    <w:rsid w:val="00966F76"/>
    <w:rsid w:val="00981A49"/>
    <w:rsid w:val="009A247C"/>
    <w:rsid w:val="009A259D"/>
    <w:rsid w:val="009C3BAE"/>
    <w:rsid w:val="009C3C15"/>
    <w:rsid w:val="009C3FB2"/>
    <w:rsid w:val="009E3C63"/>
    <w:rsid w:val="009E5D1C"/>
    <w:rsid w:val="009F17D3"/>
    <w:rsid w:val="009F4AE3"/>
    <w:rsid w:val="00A05397"/>
    <w:rsid w:val="00A149E2"/>
    <w:rsid w:val="00A21DB0"/>
    <w:rsid w:val="00A23131"/>
    <w:rsid w:val="00A2640C"/>
    <w:rsid w:val="00A3713D"/>
    <w:rsid w:val="00A53AD8"/>
    <w:rsid w:val="00A672CF"/>
    <w:rsid w:val="00A74EC5"/>
    <w:rsid w:val="00A86600"/>
    <w:rsid w:val="00A90B65"/>
    <w:rsid w:val="00A96627"/>
    <w:rsid w:val="00AB26CC"/>
    <w:rsid w:val="00AC0CE0"/>
    <w:rsid w:val="00AC6F73"/>
    <w:rsid w:val="00AD1DEA"/>
    <w:rsid w:val="00AD3023"/>
    <w:rsid w:val="00AD445E"/>
    <w:rsid w:val="00AD7A9E"/>
    <w:rsid w:val="00AE400F"/>
    <w:rsid w:val="00B05BD8"/>
    <w:rsid w:val="00B122DF"/>
    <w:rsid w:val="00B153F3"/>
    <w:rsid w:val="00B15FBC"/>
    <w:rsid w:val="00B163B7"/>
    <w:rsid w:val="00B30964"/>
    <w:rsid w:val="00B30BC8"/>
    <w:rsid w:val="00B3488F"/>
    <w:rsid w:val="00B362CB"/>
    <w:rsid w:val="00B42709"/>
    <w:rsid w:val="00B4554D"/>
    <w:rsid w:val="00B523BD"/>
    <w:rsid w:val="00B6481A"/>
    <w:rsid w:val="00B9006B"/>
    <w:rsid w:val="00BA224F"/>
    <w:rsid w:val="00BA5B36"/>
    <w:rsid w:val="00BB167A"/>
    <w:rsid w:val="00BB1840"/>
    <w:rsid w:val="00BB5215"/>
    <w:rsid w:val="00BB62AF"/>
    <w:rsid w:val="00BC2A16"/>
    <w:rsid w:val="00BC3318"/>
    <w:rsid w:val="00BD73BB"/>
    <w:rsid w:val="00BE7E8B"/>
    <w:rsid w:val="00BF215C"/>
    <w:rsid w:val="00C00A48"/>
    <w:rsid w:val="00C15F0B"/>
    <w:rsid w:val="00C1665D"/>
    <w:rsid w:val="00C2201B"/>
    <w:rsid w:val="00C3109B"/>
    <w:rsid w:val="00C34A5C"/>
    <w:rsid w:val="00C350BE"/>
    <w:rsid w:val="00C503AC"/>
    <w:rsid w:val="00C53E96"/>
    <w:rsid w:val="00CA5D53"/>
    <w:rsid w:val="00CB3C4A"/>
    <w:rsid w:val="00CB4A1B"/>
    <w:rsid w:val="00CC4556"/>
    <w:rsid w:val="00CD14B3"/>
    <w:rsid w:val="00CD1BCA"/>
    <w:rsid w:val="00CD4BA2"/>
    <w:rsid w:val="00CE4AA2"/>
    <w:rsid w:val="00CE79C6"/>
    <w:rsid w:val="00CF5E2D"/>
    <w:rsid w:val="00CF76E8"/>
    <w:rsid w:val="00D0138B"/>
    <w:rsid w:val="00D13683"/>
    <w:rsid w:val="00D32A48"/>
    <w:rsid w:val="00D33F87"/>
    <w:rsid w:val="00D35CEA"/>
    <w:rsid w:val="00D41362"/>
    <w:rsid w:val="00D51C10"/>
    <w:rsid w:val="00D6205B"/>
    <w:rsid w:val="00D6551C"/>
    <w:rsid w:val="00D717F7"/>
    <w:rsid w:val="00D72108"/>
    <w:rsid w:val="00D73AD4"/>
    <w:rsid w:val="00D75F9E"/>
    <w:rsid w:val="00D83F5C"/>
    <w:rsid w:val="00D86483"/>
    <w:rsid w:val="00D91B4B"/>
    <w:rsid w:val="00D952B9"/>
    <w:rsid w:val="00DB1B2C"/>
    <w:rsid w:val="00DB23F6"/>
    <w:rsid w:val="00DD7F1C"/>
    <w:rsid w:val="00DE136B"/>
    <w:rsid w:val="00DE2EEB"/>
    <w:rsid w:val="00DF4F85"/>
    <w:rsid w:val="00DF6034"/>
    <w:rsid w:val="00E074C8"/>
    <w:rsid w:val="00E17521"/>
    <w:rsid w:val="00E30E15"/>
    <w:rsid w:val="00E31F83"/>
    <w:rsid w:val="00E358B7"/>
    <w:rsid w:val="00E36411"/>
    <w:rsid w:val="00E43C51"/>
    <w:rsid w:val="00E73A54"/>
    <w:rsid w:val="00E85270"/>
    <w:rsid w:val="00E864B1"/>
    <w:rsid w:val="00E955B5"/>
    <w:rsid w:val="00EA485D"/>
    <w:rsid w:val="00EA6BE6"/>
    <w:rsid w:val="00EB620D"/>
    <w:rsid w:val="00EC2600"/>
    <w:rsid w:val="00EC4B78"/>
    <w:rsid w:val="00ED28D0"/>
    <w:rsid w:val="00ED7ECC"/>
    <w:rsid w:val="00EE1DCA"/>
    <w:rsid w:val="00EE45BC"/>
    <w:rsid w:val="00EF01FD"/>
    <w:rsid w:val="00EF3F37"/>
    <w:rsid w:val="00EF5DDC"/>
    <w:rsid w:val="00F001DC"/>
    <w:rsid w:val="00F02D65"/>
    <w:rsid w:val="00F10D19"/>
    <w:rsid w:val="00F1169E"/>
    <w:rsid w:val="00F2088D"/>
    <w:rsid w:val="00F21092"/>
    <w:rsid w:val="00F37C11"/>
    <w:rsid w:val="00F518F9"/>
    <w:rsid w:val="00F53B34"/>
    <w:rsid w:val="00F67876"/>
    <w:rsid w:val="00F71ADB"/>
    <w:rsid w:val="00F821CD"/>
    <w:rsid w:val="00F946D0"/>
    <w:rsid w:val="00F9598A"/>
    <w:rsid w:val="00FA004D"/>
    <w:rsid w:val="00FB52F5"/>
    <w:rsid w:val="00FB5B1B"/>
    <w:rsid w:val="00FC68A6"/>
    <w:rsid w:val="00FD4FA0"/>
    <w:rsid w:val="00FE59D4"/>
    <w:rsid w:val="00FE6633"/>
    <w:rsid w:val="00FE6996"/>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3974E3"/>
  <w15:chartTrackingRefBased/>
  <w15:docId w15:val="{DF75E582-426A-4F20-AFB0-B224818D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C10"/>
    <w:pPr>
      <w:spacing w:after="0" w:line="240" w:lineRule="auto"/>
    </w:pPr>
  </w:style>
  <w:style w:type="paragraph" w:customStyle="1" w:styleId="Default">
    <w:name w:val="Default"/>
    <w:rsid w:val="003566C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12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87"/>
    <w:rPr>
      <w:rFonts w:ascii="Segoe UI" w:hAnsi="Segoe UI" w:cs="Segoe UI"/>
      <w:sz w:val="18"/>
      <w:szCs w:val="18"/>
    </w:rPr>
  </w:style>
  <w:style w:type="character" w:styleId="CommentReference">
    <w:name w:val="annotation reference"/>
    <w:basedOn w:val="DefaultParagraphFont"/>
    <w:uiPriority w:val="99"/>
    <w:semiHidden/>
    <w:unhideWhenUsed/>
    <w:rsid w:val="006F495F"/>
    <w:rPr>
      <w:sz w:val="16"/>
      <w:szCs w:val="16"/>
    </w:rPr>
  </w:style>
  <w:style w:type="paragraph" w:styleId="CommentText">
    <w:name w:val="annotation text"/>
    <w:basedOn w:val="Normal"/>
    <w:link w:val="CommentTextChar"/>
    <w:uiPriority w:val="99"/>
    <w:semiHidden/>
    <w:unhideWhenUsed/>
    <w:rsid w:val="006F495F"/>
    <w:pPr>
      <w:spacing w:line="240" w:lineRule="auto"/>
    </w:pPr>
    <w:rPr>
      <w:sz w:val="20"/>
      <w:szCs w:val="20"/>
    </w:rPr>
  </w:style>
  <w:style w:type="character" w:customStyle="1" w:styleId="CommentTextChar">
    <w:name w:val="Comment Text Char"/>
    <w:basedOn w:val="DefaultParagraphFont"/>
    <w:link w:val="CommentText"/>
    <w:uiPriority w:val="99"/>
    <w:semiHidden/>
    <w:rsid w:val="006F495F"/>
    <w:rPr>
      <w:sz w:val="20"/>
      <w:szCs w:val="20"/>
    </w:rPr>
  </w:style>
  <w:style w:type="paragraph" w:styleId="NormalWeb">
    <w:name w:val="Normal (Web)"/>
    <w:basedOn w:val="Normal"/>
    <w:uiPriority w:val="99"/>
    <w:semiHidden/>
    <w:unhideWhenUsed/>
    <w:rsid w:val="000829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3318"/>
    <w:pPr>
      <w:spacing w:after="200" w:line="276" w:lineRule="auto"/>
      <w:ind w:left="720"/>
      <w:contextualSpacing/>
    </w:pPr>
  </w:style>
  <w:style w:type="paragraph" w:styleId="Header">
    <w:name w:val="header"/>
    <w:basedOn w:val="Normal"/>
    <w:link w:val="HeaderChar"/>
    <w:uiPriority w:val="99"/>
    <w:unhideWhenUsed/>
    <w:rsid w:val="00303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772"/>
  </w:style>
  <w:style w:type="paragraph" w:styleId="Footer">
    <w:name w:val="footer"/>
    <w:basedOn w:val="Normal"/>
    <w:link w:val="FooterChar"/>
    <w:uiPriority w:val="99"/>
    <w:unhideWhenUsed/>
    <w:rsid w:val="00303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772"/>
  </w:style>
  <w:style w:type="character" w:styleId="Hyperlink">
    <w:name w:val="Hyperlink"/>
    <w:basedOn w:val="DefaultParagraphFont"/>
    <w:uiPriority w:val="99"/>
    <w:unhideWhenUsed/>
    <w:rsid w:val="00F10D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739796">
      <w:bodyDiv w:val="1"/>
      <w:marLeft w:val="0"/>
      <w:marRight w:val="0"/>
      <w:marTop w:val="0"/>
      <w:marBottom w:val="0"/>
      <w:divBdr>
        <w:top w:val="none" w:sz="0" w:space="0" w:color="auto"/>
        <w:left w:val="none" w:sz="0" w:space="0" w:color="auto"/>
        <w:bottom w:val="none" w:sz="0" w:space="0" w:color="auto"/>
        <w:right w:val="none" w:sz="0" w:space="0" w:color="auto"/>
      </w:divBdr>
    </w:div>
    <w:div w:id="742138531">
      <w:bodyDiv w:val="1"/>
      <w:marLeft w:val="0"/>
      <w:marRight w:val="0"/>
      <w:marTop w:val="0"/>
      <w:marBottom w:val="0"/>
      <w:divBdr>
        <w:top w:val="none" w:sz="0" w:space="0" w:color="auto"/>
        <w:left w:val="none" w:sz="0" w:space="0" w:color="auto"/>
        <w:bottom w:val="none" w:sz="0" w:space="0" w:color="auto"/>
        <w:right w:val="none" w:sz="0" w:space="0" w:color="auto"/>
      </w:divBdr>
    </w:div>
    <w:div w:id="1059405652">
      <w:bodyDiv w:val="1"/>
      <w:marLeft w:val="0"/>
      <w:marRight w:val="0"/>
      <w:marTop w:val="0"/>
      <w:marBottom w:val="0"/>
      <w:divBdr>
        <w:top w:val="none" w:sz="0" w:space="0" w:color="auto"/>
        <w:left w:val="none" w:sz="0" w:space="0" w:color="auto"/>
        <w:bottom w:val="none" w:sz="0" w:space="0" w:color="auto"/>
        <w:right w:val="none" w:sz="0" w:space="0" w:color="auto"/>
      </w:divBdr>
    </w:div>
    <w:div w:id="1261373219">
      <w:bodyDiv w:val="1"/>
      <w:marLeft w:val="0"/>
      <w:marRight w:val="0"/>
      <w:marTop w:val="0"/>
      <w:marBottom w:val="0"/>
      <w:divBdr>
        <w:top w:val="none" w:sz="0" w:space="0" w:color="auto"/>
        <w:left w:val="none" w:sz="0" w:space="0" w:color="auto"/>
        <w:bottom w:val="none" w:sz="0" w:space="0" w:color="auto"/>
        <w:right w:val="none" w:sz="0" w:space="0" w:color="auto"/>
      </w:divBdr>
    </w:div>
    <w:div w:id="1898323975">
      <w:bodyDiv w:val="1"/>
      <w:marLeft w:val="0"/>
      <w:marRight w:val="0"/>
      <w:marTop w:val="0"/>
      <w:marBottom w:val="0"/>
      <w:divBdr>
        <w:top w:val="none" w:sz="0" w:space="0" w:color="auto"/>
        <w:left w:val="none" w:sz="0" w:space="0" w:color="auto"/>
        <w:bottom w:val="none" w:sz="0" w:space="0" w:color="auto"/>
        <w:right w:val="none" w:sz="0" w:space="0" w:color="auto"/>
      </w:divBdr>
    </w:div>
    <w:div w:id="20684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childwelfaregroup.org"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98" b="1" i="0" baseline="0">
                <a:effectLst/>
                <a:latin typeface="Arial" pitchFamily="34" charset="0"/>
                <a:cs typeface="Arial" pitchFamily="34" charset="0"/>
              </a:rPr>
              <a:t>FY 2014</a:t>
            </a:r>
            <a:endParaRPr lang="en-US" sz="1000" b="1">
              <a:effectLst/>
              <a:latin typeface="Arial" pitchFamily="34" charset="0"/>
              <a:cs typeface="Arial" pitchFamily="34" charset="0"/>
            </a:endParaRPr>
          </a:p>
          <a:p>
            <a:pPr>
              <a:defRPr/>
            </a:pPr>
            <a:r>
              <a:rPr lang="en-US" sz="998" b="1" i="0" baseline="0">
                <a:effectLst/>
                <a:latin typeface="Arial" pitchFamily="34" charset="0"/>
                <a:cs typeface="Arial" pitchFamily="34" charset="0"/>
              </a:rPr>
              <a:t>Meeting Educational, Physical Health, and Mental Health Needs</a:t>
            </a:r>
            <a:endParaRPr lang="en-US" sz="1000" b="1">
              <a:latin typeface="Arial" pitchFamily="34" charset="0"/>
              <a:cs typeface="Arial" pitchFamily="34" charset="0"/>
            </a:endParaRPr>
          </a:p>
        </c:rich>
      </c:tx>
      <c:layout>
        <c:manualLayout>
          <c:xMode val="edge"/>
          <c:yMode val="edge"/>
          <c:x val="0.17524496937882786"/>
          <c:y val="0"/>
        </c:manualLayout>
      </c:layout>
      <c:overlay val="0"/>
    </c:title>
    <c:autoTitleDeleted val="0"/>
    <c:view3D>
      <c:rotX val="15"/>
      <c:rotY val="20"/>
      <c:depthPercent val="100"/>
      <c:rAngAx val="1"/>
    </c:view3D>
    <c:floor>
      <c:thickness val="0"/>
    </c:floor>
    <c:sideWall>
      <c:thickness val="0"/>
      <c:spPr>
        <a:noFill/>
      </c:spPr>
    </c:sideWall>
    <c:backWall>
      <c:thickness val="0"/>
      <c:spPr>
        <a:noFill/>
        <a:ln w="25400">
          <a:noFill/>
        </a:ln>
      </c:spPr>
    </c:backWall>
    <c:plotArea>
      <c:layout>
        <c:manualLayout>
          <c:layoutTarget val="inner"/>
          <c:xMode val="edge"/>
          <c:yMode val="edge"/>
          <c:x val="9.2050358112015798E-2"/>
          <c:y val="0.15074877034472592"/>
          <c:w val="0.74776252813599542"/>
          <c:h val="0.73785170955507373"/>
        </c:manualLayout>
      </c:layout>
      <c:bar3DChart>
        <c:barDir val="col"/>
        <c:grouping val="clustered"/>
        <c:varyColors val="0"/>
        <c:ser>
          <c:idx val="0"/>
          <c:order val="0"/>
          <c:tx>
            <c:strRef>
              <c:f>Sheet1!$B$1</c:f>
              <c:strCache>
                <c:ptCount val="1"/>
                <c:pt idx="0">
                  <c:v>All Cases</c:v>
                </c:pt>
              </c:strCache>
            </c:strRef>
          </c:tx>
          <c:invertIfNegative val="0"/>
          <c:dLbls>
            <c:dLbl>
              <c:idx val="0"/>
              <c:layout>
                <c:manualLayout>
                  <c:x val="-6.4198465576418432E-3"/>
                  <c:y val="-1.1176954379340184E-2"/>
                </c:manualLayout>
              </c:layout>
              <c:tx>
                <c:rich>
                  <a:bodyPr/>
                  <a:lstStyle/>
                  <a:p>
                    <a:r>
                      <a:rPr lang="en-US"/>
                      <a:t>88%</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6567063732418081E-3"/>
                  <c:y val="-5.3119926766647188E-3"/>
                </c:manualLayout>
              </c:layout>
              <c:tx>
                <c:rich>
                  <a:bodyPr/>
                  <a:lstStyle/>
                  <a:p>
                    <a:r>
                      <a:rPr lang="en-US"/>
                      <a:t>92%</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1.0723860589812326E-2"/>
                </c:manualLayout>
              </c:layout>
              <c:tx>
                <c:rich>
                  <a:bodyPr/>
                  <a:lstStyle/>
                  <a:p>
                    <a:r>
                      <a:rPr lang="en-US"/>
                      <a:t>91%</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98" b="1">
                    <a:latin typeface="Arial" pitchFamily="34" charset="0"/>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Educational </c:v>
                </c:pt>
                <c:pt idx="1">
                  <c:v>Physical Health</c:v>
                </c:pt>
                <c:pt idx="2">
                  <c:v>Mental Health </c:v>
                </c:pt>
              </c:strCache>
            </c:strRef>
          </c:cat>
          <c:val>
            <c:numRef>
              <c:f>Sheet1!$B$2:$B$4</c:f>
              <c:numCache>
                <c:formatCode>0</c:formatCode>
                <c:ptCount val="3"/>
                <c:pt idx="0">
                  <c:v>88</c:v>
                </c:pt>
                <c:pt idx="1">
                  <c:v>92</c:v>
                </c:pt>
                <c:pt idx="2">
                  <c:v>91</c:v>
                </c:pt>
              </c:numCache>
            </c:numRef>
          </c:val>
        </c:ser>
        <c:ser>
          <c:idx val="1"/>
          <c:order val="1"/>
          <c:tx>
            <c:strRef>
              <c:f>Sheet1!$C$1</c:f>
              <c:strCache>
                <c:ptCount val="1"/>
                <c:pt idx="0">
                  <c:v>Foster Care Cases</c:v>
                </c:pt>
              </c:strCache>
            </c:strRef>
          </c:tx>
          <c:invertIfNegative val="0"/>
          <c:dLbls>
            <c:dLbl>
              <c:idx val="0"/>
              <c:layout>
                <c:manualLayout>
                  <c:x val="9.1486641092940312E-3"/>
                  <c:y val="-1.4850922926187358E-2"/>
                </c:manualLayout>
              </c:layout>
              <c:tx>
                <c:rich>
                  <a:bodyPr/>
                  <a:lstStyle/>
                  <a:p>
                    <a:r>
                      <a:rPr lang="en-US"/>
                      <a:t>94%</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3179217982367491E-3"/>
                  <c:y val="-9.1427263690131398E-3"/>
                </c:manualLayout>
              </c:layout>
              <c:tx>
                <c:rich>
                  <a:bodyPr/>
                  <a:lstStyle/>
                  <a:p>
                    <a:r>
                      <a:rPr lang="en-US"/>
                      <a:t>97%</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380240931422112E-2"/>
                  <c:y val="-5.3889449104965416E-3"/>
                </c:manualLayout>
              </c:layout>
              <c:tx>
                <c:rich>
                  <a:bodyPr/>
                  <a:lstStyle/>
                  <a:p>
                    <a:r>
                      <a:rPr lang="en-US"/>
                      <a:t>98%</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Arial" pitchFamily="34" charset="0"/>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Educational </c:v>
                </c:pt>
                <c:pt idx="1">
                  <c:v>Physical Health</c:v>
                </c:pt>
                <c:pt idx="2">
                  <c:v>Mental Health </c:v>
                </c:pt>
              </c:strCache>
            </c:strRef>
          </c:cat>
          <c:val>
            <c:numRef>
              <c:f>Sheet1!$C$2:$C$4</c:f>
              <c:numCache>
                <c:formatCode>0</c:formatCode>
                <c:ptCount val="3"/>
                <c:pt idx="0">
                  <c:v>94</c:v>
                </c:pt>
                <c:pt idx="1">
                  <c:v>97</c:v>
                </c:pt>
                <c:pt idx="2">
                  <c:v>98</c:v>
                </c:pt>
              </c:numCache>
            </c:numRef>
          </c:val>
        </c:ser>
        <c:ser>
          <c:idx val="2"/>
          <c:order val="2"/>
          <c:tx>
            <c:strRef>
              <c:f>Sheet1!$D$1</c:f>
              <c:strCache>
                <c:ptCount val="1"/>
                <c:pt idx="0">
                  <c:v>In-Home Cases</c:v>
                </c:pt>
              </c:strCache>
            </c:strRef>
          </c:tx>
          <c:invertIfNegative val="0"/>
          <c:dLbls>
            <c:dLbl>
              <c:idx val="0"/>
              <c:layout>
                <c:manualLayout>
                  <c:x val="1.8574433003566863E-2"/>
                  <c:y val="-1.0723823009862226E-2"/>
                </c:manualLayout>
              </c:layout>
              <c:tx>
                <c:rich>
                  <a:bodyPr/>
                  <a:lstStyle/>
                  <a:p>
                    <a:r>
                      <a:rPr lang="en-US"/>
                      <a:t>65%</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50427350427356E-2"/>
                  <c:y val="-7.2661217075385923E-3"/>
                </c:manualLayout>
              </c:layout>
              <c:tx>
                <c:rich>
                  <a:bodyPr/>
                  <a:lstStyle/>
                  <a:p>
                    <a:r>
                      <a:rPr lang="en-US"/>
                      <a:t>68%</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238946093276806E-2"/>
                  <c:y val="-7.4818168164946823E-3"/>
                </c:manualLayout>
              </c:layout>
              <c:tx>
                <c:rich>
                  <a:bodyPr/>
                  <a:lstStyle/>
                  <a:p>
                    <a:r>
                      <a:rPr lang="en-US"/>
                      <a:t>77%</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Arial" pitchFamily="34" charset="0"/>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Educational </c:v>
                </c:pt>
                <c:pt idx="1">
                  <c:v>Physical Health</c:v>
                </c:pt>
                <c:pt idx="2">
                  <c:v>Mental Health </c:v>
                </c:pt>
              </c:strCache>
            </c:strRef>
          </c:cat>
          <c:val>
            <c:numRef>
              <c:f>Sheet1!$D$2:$D$4</c:f>
              <c:numCache>
                <c:formatCode>0</c:formatCode>
                <c:ptCount val="3"/>
                <c:pt idx="0">
                  <c:v>65</c:v>
                </c:pt>
                <c:pt idx="1">
                  <c:v>68</c:v>
                </c:pt>
                <c:pt idx="2">
                  <c:v>77</c:v>
                </c:pt>
              </c:numCache>
            </c:numRef>
          </c:val>
        </c:ser>
        <c:dLbls>
          <c:showLegendKey val="0"/>
          <c:showVal val="0"/>
          <c:showCatName val="0"/>
          <c:showSerName val="0"/>
          <c:showPercent val="0"/>
          <c:showBubbleSize val="0"/>
        </c:dLbls>
        <c:gapWidth val="150"/>
        <c:shape val="box"/>
        <c:axId val="380143920"/>
        <c:axId val="380144304"/>
        <c:axId val="0"/>
      </c:bar3DChart>
      <c:catAx>
        <c:axId val="380143920"/>
        <c:scaling>
          <c:orientation val="minMax"/>
        </c:scaling>
        <c:delete val="0"/>
        <c:axPos val="b"/>
        <c:numFmt formatCode="General" sourceLinked="1"/>
        <c:majorTickMark val="out"/>
        <c:minorTickMark val="none"/>
        <c:tickLblPos val="nextTo"/>
        <c:txPr>
          <a:bodyPr/>
          <a:lstStyle/>
          <a:p>
            <a:pPr>
              <a:defRPr b="1">
                <a:latin typeface="Arial" pitchFamily="34" charset="0"/>
                <a:cs typeface="Arial" pitchFamily="34" charset="0"/>
              </a:defRPr>
            </a:pPr>
            <a:endParaRPr lang="en-US"/>
          </a:p>
        </c:txPr>
        <c:crossAx val="380144304"/>
        <c:crosses val="autoZero"/>
        <c:auto val="1"/>
        <c:lblAlgn val="ctr"/>
        <c:lblOffset val="100"/>
        <c:noMultiLvlLbl val="0"/>
      </c:catAx>
      <c:valAx>
        <c:axId val="380144304"/>
        <c:scaling>
          <c:orientation val="minMax"/>
        </c:scaling>
        <c:delete val="0"/>
        <c:axPos val="l"/>
        <c:title>
          <c:tx>
            <c:rich>
              <a:bodyPr rot="-5400000" vert="horz"/>
              <a:lstStyle/>
              <a:p>
                <a:pPr>
                  <a:defRPr/>
                </a:pPr>
                <a:r>
                  <a:rPr lang="en-US">
                    <a:latin typeface="Arial" pitchFamily="34" charset="0"/>
                    <a:cs typeface="Arial" pitchFamily="34" charset="0"/>
                  </a:rPr>
                  <a:t>Percentage</a:t>
                </a:r>
                <a:r>
                  <a:rPr lang="en-US"/>
                  <a:t> </a:t>
                </a:r>
                <a:r>
                  <a:rPr lang="en-US">
                    <a:latin typeface="Arial" pitchFamily="34" charset="0"/>
                    <a:cs typeface="Arial" pitchFamily="34" charset="0"/>
                  </a:rPr>
                  <a:t>(%)</a:t>
                </a:r>
              </a:p>
            </c:rich>
          </c:tx>
          <c:layout/>
          <c:overlay val="0"/>
        </c:title>
        <c:numFmt formatCode="General" sourceLinked="0"/>
        <c:majorTickMark val="out"/>
        <c:minorTickMark val="none"/>
        <c:tickLblPos val="nextTo"/>
        <c:spPr>
          <a:noFill/>
        </c:spPr>
        <c:txPr>
          <a:bodyPr/>
          <a:lstStyle/>
          <a:p>
            <a:pPr>
              <a:defRPr b="1">
                <a:latin typeface="Arial" pitchFamily="34" charset="0"/>
                <a:cs typeface="Arial" pitchFamily="34" charset="0"/>
              </a:defRPr>
            </a:pPr>
            <a:endParaRPr lang="en-US"/>
          </a:p>
        </c:txPr>
        <c:crossAx val="380143920"/>
        <c:crosses val="autoZero"/>
        <c:crossBetween val="between"/>
        <c:majorUnit val="20"/>
        <c:minorUnit val="2"/>
      </c:valAx>
      <c:spPr>
        <a:noFill/>
        <a:ln w="25361">
          <a:noFill/>
        </a:ln>
      </c:spPr>
    </c:plotArea>
    <c:legend>
      <c:legendPos val="r"/>
      <c:layout>
        <c:manualLayout>
          <c:xMode val="edge"/>
          <c:yMode val="edge"/>
          <c:x val="0.80557260574986256"/>
          <c:y val="0.41154176482656646"/>
          <c:w val="0.18068160084640594"/>
          <c:h val="0.28125361688279527"/>
        </c:manualLayout>
      </c:layout>
      <c:overlay val="0"/>
      <c:txPr>
        <a:bodyPr/>
        <a:lstStyle/>
        <a:p>
          <a:pPr>
            <a:defRPr b="1">
              <a:latin typeface="Arial" pitchFamily="34" charset="0"/>
              <a:cs typeface="Arial" pitchFamily="34" charset="0"/>
            </a:defRPr>
          </a:pPr>
          <a:endParaRPr lang="en-US"/>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47</Pages>
  <Words>14454</Words>
  <Characters>82389</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CWG1</dc:creator>
  <cp:keywords/>
  <dc:description/>
  <cp:lastModifiedBy>cwg2</cp:lastModifiedBy>
  <cp:revision>37</cp:revision>
  <cp:lastPrinted>2015-07-07T20:35:00Z</cp:lastPrinted>
  <dcterms:created xsi:type="dcterms:W3CDTF">2015-06-24T19:02:00Z</dcterms:created>
  <dcterms:modified xsi:type="dcterms:W3CDTF">2015-07-15T13:22:00Z</dcterms:modified>
</cp:coreProperties>
</file>